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2614" w14:textId="77777777" w:rsidR="00D51A06" w:rsidRDefault="00000000">
      <w:pPr>
        <w:spacing w:before="273"/>
        <w:ind w:left="141"/>
        <w:rPr>
          <w:b/>
          <w:sz w:val="24"/>
        </w:rPr>
      </w:pPr>
      <w:r>
        <w:rPr>
          <w:b/>
          <w:sz w:val="24"/>
        </w:rPr>
        <w:t xml:space="preserve">MannaertsAppels </w:t>
      </w:r>
      <w:r>
        <w:rPr>
          <w:b/>
          <w:spacing w:val="-4"/>
          <w:sz w:val="24"/>
        </w:rPr>
        <w:t xml:space="preserve">N.V. </w:t>
      </w:r>
      <w:r>
        <w:rPr>
          <w:b/>
          <w:sz w:val="24"/>
        </w:rPr>
        <w:t>Complaints Procedure</w:t>
      </w:r>
    </w:p>
    <w:p w14:paraId="49192615" w14:textId="77777777" w:rsidR="00D51A06" w:rsidRDefault="00000000">
      <w:pPr>
        <w:pStyle w:val="Kop1"/>
        <w:spacing w:before="281" w:line="305" w:lineRule="exact"/>
        <w:rPr>
          <w:u w:val="none"/>
        </w:rPr>
      </w:pPr>
      <w:r>
        <w:rPr>
          <w:spacing w:val="-2"/>
          <w:sz w:val="26"/>
        </w:rPr>
        <w:t>Article 1 Definitions</w:t>
      </w:r>
    </w:p>
    <w:p w14:paraId="49192616" w14:textId="77777777" w:rsidR="00D51A06" w:rsidRDefault="00000000">
      <w:pPr>
        <w:pStyle w:val="Plattetekst"/>
        <w:spacing w:line="289" w:lineRule="exact"/>
      </w:pPr>
      <w:r>
        <w:t>In this firm’s complaints procedure</w:t>
      </w:r>
      <w:r>
        <w:rPr>
          <w:spacing w:val="-2"/>
        </w:rPr>
        <w:t xml:space="preserve">, the following terms </w:t>
      </w:r>
      <w:r>
        <w:t xml:space="preserve">shall have the </w:t>
      </w:r>
      <w:r>
        <w:rPr>
          <w:spacing w:val="-2"/>
        </w:rPr>
        <w:t xml:space="preserve">following </w:t>
      </w:r>
      <w:r>
        <w:t>meanings</w:t>
      </w:r>
      <w:r>
        <w:rPr>
          <w:spacing w:val="-2"/>
        </w:rPr>
        <w:t>:</w:t>
      </w:r>
    </w:p>
    <w:p w14:paraId="49192617" w14:textId="77777777" w:rsidR="00D51A06" w:rsidRDefault="00000000">
      <w:pPr>
        <w:pStyle w:val="Plattetekst"/>
        <w:ind w:right="62"/>
      </w:pPr>
      <w:r>
        <w:t>complaint: any written expression of dissatisfaction by or on behalf of the client directed at the attorney or persons working under the attorney’s responsibility regarding the formation and performance of a retainer agreement, the quality of the services provided, or the amount of the invoice, not being a complaint as referred to in Section 4 of the Attorneys Act;</w:t>
      </w:r>
    </w:p>
    <w:p w14:paraId="49192618" w14:textId="77777777" w:rsidR="00D51A06" w:rsidRDefault="00000000">
      <w:pPr>
        <w:pStyle w:val="Plattetekst"/>
        <w:spacing w:before="1" w:line="237" w:lineRule="auto"/>
      </w:pPr>
      <w:r>
        <w:t>complainant: the client or their representative who submits a complaint; complaints officer: the attorney responsible for handling the complaint.</w:t>
      </w:r>
    </w:p>
    <w:p w14:paraId="49192619" w14:textId="77777777" w:rsidR="00D51A06" w:rsidRDefault="00000000">
      <w:pPr>
        <w:pStyle w:val="Kop1"/>
        <w:spacing w:before="291"/>
        <w:rPr>
          <w:u w:val="none"/>
        </w:rPr>
      </w:pPr>
      <w:r>
        <w:rPr>
          <w:spacing w:val="-2"/>
          <w:sz w:val="26"/>
        </w:rPr>
        <w:t>Article 2 Scope of Application</w:t>
      </w:r>
    </w:p>
    <w:p w14:paraId="4919261A" w14:textId="77777777" w:rsidR="00D51A06" w:rsidRDefault="00000000">
      <w:pPr>
        <w:pStyle w:val="Plattetekst"/>
        <w:spacing w:before="2"/>
      </w:pPr>
      <w:r>
        <w:t>This complaints procedure applies to every engagement agreement between MannaertsAppels N.V. (hereinafter referred to as “MA”) and the client.</w:t>
      </w:r>
    </w:p>
    <w:p w14:paraId="4919261B" w14:textId="77777777" w:rsidR="00D51A06" w:rsidRDefault="00000000">
      <w:pPr>
        <w:pStyle w:val="Plattetekst"/>
        <w:spacing w:line="290" w:lineRule="exact"/>
      </w:pPr>
      <w:r>
        <w:t xml:space="preserve">Every lawyer at MA is responsible for handling complaints in accordance with the </w:t>
      </w:r>
      <w:r>
        <w:rPr>
          <w:spacing w:val="-2"/>
        </w:rPr>
        <w:t>complaints procedure.</w:t>
      </w:r>
    </w:p>
    <w:p w14:paraId="4919261C" w14:textId="77777777" w:rsidR="00D51A06" w:rsidRDefault="00000000">
      <w:pPr>
        <w:pStyle w:val="Kop1"/>
        <w:spacing w:before="281"/>
        <w:jc w:val="both"/>
        <w:rPr>
          <w:u w:val="none"/>
        </w:rPr>
      </w:pPr>
      <w:r>
        <w:rPr>
          <w:spacing w:val="-2"/>
          <w:sz w:val="26"/>
        </w:rPr>
        <w:t>Article 3 Objectives</w:t>
      </w:r>
    </w:p>
    <w:p w14:paraId="4919261D" w14:textId="77777777" w:rsidR="00D51A06" w:rsidRDefault="00000000">
      <w:pPr>
        <w:pStyle w:val="Plattetekst"/>
        <w:spacing w:before="2"/>
        <w:jc w:val="both"/>
      </w:pPr>
      <w:r>
        <w:rPr>
          <w:spacing w:val="-4"/>
        </w:rPr>
        <w:t xml:space="preserve">The purpose </w:t>
      </w:r>
      <w:r>
        <w:t>of this complaints procedure is</w:t>
      </w:r>
      <w:r>
        <w:rPr>
          <w:spacing w:val="-4"/>
        </w:rPr>
        <w:t>:</w:t>
      </w:r>
    </w:p>
    <w:p w14:paraId="4919261E" w14:textId="77777777" w:rsidR="00D51A06" w:rsidRDefault="00000000">
      <w:pPr>
        <w:pStyle w:val="Plattetekst"/>
        <w:spacing w:before="2" w:line="237" w:lineRule="auto"/>
        <w:ind w:right="219"/>
        <w:jc w:val="both"/>
      </w:pPr>
      <w:r>
        <w:t>establishing a procedure to handle client complaints constructively within a reasonable timeframe;</w:t>
      </w:r>
    </w:p>
    <w:p w14:paraId="4919261F" w14:textId="77777777" w:rsidR="00D51A06" w:rsidRDefault="00000000">
      <w:pPr>
        <w:pStyle w:val="Plattetekst"/>
        <w:spacing w:before="1"/>
        <w:ind w:right="192"/>
        <w:jc w:val="both"/>
      </w:pPr>
      <w:r>
        <w:t>establishing a procedure to identify the causes of client complaints; maintaining and improving existing relationships through effective complaint handling; training employees to respond to complaints in a client-focused manner;</w:t>
      </w:r>
    </w:p>
    <w:p w14:paraId="49192620" w14:textId="77777777" w:rsidR="00D51A06" w:rsidRDefault="00000000">
      <w:pPr>
        <w:pStyle w:val="Plattetekst"/>
        <w:spacing w:before="4" w:line="237" w:lineRule="auto"/>
        <w:ind w:right="347"/>
        <w:jc w:val="both"/>
      </w:pPr>
      <w:r>
        <w:t xml:space="preserve">improving the quality of service through complaint handling and </w:t>
      </w:r>
      <w:r>
        <w:rPr>
          <w:spacing w:val="-2"/>
        </w:rPr>
        <w:t>complaint analysis.</w:t>
      </w:r>
    </w:p>
    <w:p w14:paraId="49192621" w14:textId="77777777" w:rsidR="00D51A06" w:rsidRDefault="00000000">
      <w:pPr>
        <w:pStyle w:val="Kop1"/>
        <w:spacing w:before="282" w:line="301" w:lineRule="exact"/>
        <w:rPr>
          <w:u w:val="none"/>
        </w:rPr>
      </w:pPr>
      <w:r>
        <w:rPr>
          <w:spacing w:val="-4"/>
          <w:sz w:val="26"/>
        </w:rPr>
        <w:t>Article 4 Information at the Start of Services</w:t>
      </w:r>
    </w:p>
    <w:p w14:paraId="49192622" w14:textId="77777777" w:rsidR="00D51A06" w:rsidRDefault="00000000">
      <w:pPr>
        <w:pStyle w:val="Plattetekst"/>
        <w:ind w:right="62"/>
      </w:pPr>
      <w:r>
        <w:t>This complaints procedure has been made public. Prior to entering into the engagement agreement, the attorney informs the client that the firm has a complaints procedure in place and that it applies to the services provided.</w:t>
      </w:r>
    </w:p>
    <w:p w14:paraId="49192623" w14:textId="77777777" w:rsidR="00D51A06" w:rsidRDefault="00000000">
      <w:pPr>
        <w:pStyle w:val="Plattetekst"/>
        <w:ind w:right="175"/>
      </w:pPr>
      <w:r>
        <w:t>MA has incorporated this complaints procedure into its general terms and conditions and has disclosed this, along with the independent body to which the complaint may be submitted if it remains unresolved after review (see Article 6 below), in the order confirmation.</w:t>
      </w:r>
    </w:p>
    <w:p w14:paraId="49192624" w14:textId="77777777" w:rsidR="00D51A06" w:rsidRDefault="00000000">
      <w:pPr>
        <w:pStyle w:val="Kop1"/>
        <w:spacing w:before="288" w:line="303" w:lineRule="exact"/>
        <w:rPr>
          <w:u w:val="none"/>
        </w:rPr>
      </w:pPr>
      <w:r>
        <w:rPr>
          <w:spacing w:val="-4"/>
          <w:sz w:val="26"/>
        </w:rPr>
        <w:t>Article 5 Internal Complaints Procedure</w:t>
      </w:r>
    </w:p>
    <w:p w14:paraId="49192625" w14:textId="77777777" w:rsidR="00D51A06" w:rsidRDefault="00000000">
      <w:pPr>
        <w:pStyle w:val="Plattetekst"/>
      </w:pPr>
      <w:r>
        <w:t xml:space="preserve">If a client approaches the firm with a complaint, the complaint is forwarded to the chair of the executive committee of MannaertsAppels, who thereby acts as </w:t>
      </w:r>
      <w:r>
        <w:rPr>
          <w:spacing w:val="-2"/>
        </w:rPr>
        <w:t>the complaints officer.</w:t>
      </w:r>
    </w:p>
    <w:p w14:paraId="49192626" w14:textId="77777777" w:rsidR="00D51A06" w:rsidRDefault="00D51A06">
      <w:pPr>
        <w:pStyle w:val="Plattetekst"/>
        <w:sectPr w:rsidR="00D51A06">
          <w:headerReference w:type="even" r:id="rId6"/>
          <w:headerReference w:type="default" r:id="rId7"/>
          <w:footerReference w:type="even" r:id="rId8"/>
          <w:footerReference w:type="default" r:id="rId9"/>
          <w:headerReference w:type="first" r:id="rId10"/>
          <w:footerReference w:type="first" r:id="rId11"/>
          <w:type w:val="continuous"/>
          <w:pgSz w:w="11910" w:h="16850"/>
          <w:pgMar w:top="2420" w:right="1417" w:bottom="280" w:left="1275" w:header="1417" w:footer="0" w:gutter="0"/>
          <w:pgNumType w:start="1"/>
          <w:cols w:space="708"/>
        </w:sectPr>
      </w:pPr>
    </w:p>
    <w:p w14:paraId="49192627" w14:textId="77777777" w:rsidR="00D51A06" w:rsidRDefault="00D51A06">
      <w:pPr>
        <w:pStyle w:val="Plattetekst"/>
        <w:spacing w:before="16"/>
        <w:ind w:left="0"/>
      </w:pPr>
    </w:p>
    <w:p w14:paraId="49192628" w14:textId="77777777" w:rsidR="00D51A06" w:rsidRDefault="00000000">
      <w:pPr>
        <w:pStyle w:val="Plattetekst"/>
        <w:ind w:right="117"/>
        <w:jc w:val="both"/>
      </w:pPr>
      <w:r>
        <w:t>The complaints officer notifies the person against whom the complaint was filed of the complaint and gives both the complainant and the person against whom the complaint was filed the opportunity to provide an explanation regarding the complaint.</w:t>
      </w:r>
    </w:p>
    <w:p w14:paraId="49192629" w14:textId="77777777" w:rsidR="00D51A06" w:rsidRDefault="00000000">
      <w:pPr>
        <w:pStyle w:val="Plattetekst"/>
      </w:pPr>
      <w:r>
        <w:t>The person against whom the complaint was filed shall attempt to reach a resolution with the client, with or without the intervention of the complaints officer.</w:t>
      </w:r>
    </w:p>
    <w:p w14:paraId="4919262A" w14:textId="77777777" w:rsidR="00D51A06" w:rsidRDefault="00000000">
      <w:pPr>
        <w:pStyle w:val="Plattetekst"/>
        <w:ind w:right="245"/>
      </w:pPr>
      <w:r>
        <w:t>The complaints officer will resolve the complaint within four weeks of receiving it or, if this deadline cannot be met, will notify the complainant in writing of the reason for the delay and specify the new deadline by which a decision on the complaint will be issued.</w:t>
      </w:r>
      <w:r>
        <w:rPr>
          <w:spacing w:val="-4"/>
        </w:rPr>
        <w:t xml:space="preserve"> </w:t>
      </w:r>
      <w:r>
        <w:t>The complaints officer will notify the complainant and the person against whom the complaint was filed in writing of the decision regarding the validity of the complaint, accompanied by recommendations if applicable.</w:t>
      </w:r>
    </w:p>
    <w:p w14:paraId="4919262B" w14:textId="77777777" w:rsidR="00D51A06" w:rsidRDefault="00000000">
      <w:pPr>
        <w:pStyle w:val="Plattetekst"/>
        <w:spacing w:before="4" w:line="235" w:lineRule="auto"/>
      </w:pPr>
      <w:r>
        <w:t xml:space="preserve">If the complaint has been resolved to the satisfaction of all parties, the complainant, the complaints officer, and the person against whom the complaint was filed shall sign the determination regarding the merits of the </w:t>
      </w:r>
      <w:r>
        <w:rPr>
          <w:spacing w:val="-2"/>
        </w:rPr>
        <w:t>complaint.</w:t>
      </w:r>
    </w:p>
    <w:p w14:paraId="4919262C" w14:textId="77777777" w:rsidR="00D51A06" w:rsidRDefault="00D51A06">
      <w:pPr>
        <w:pStyle w:val="Plattetekst"/>
        <w:spacing w:before="5"/>
        <w:ind w:left="0"/>
      </w:pPr>
    </w:p>
    <w:p w14:paraId="4919262D" w14:textId="77777777" w:rsidR="00D51A06" w:rsidRDefault="00000000">
      <w:pPr>
        <w:pStyle w:val="Kop1"/>
        <w:spacing w:before="0" w:line="305" w:lineRule="exact"/>
        <w:rPr>
          <w:u w:val="none"/>
        </w:rPr>
      </w:pPr>
      <w:r>
        <w:rPr>
          <w:spacing w:val="-4"/>
          <w:sz w:val="26"/>
        </w:rPr>
        <w:t>Article 6 Bar Association Dispute Resolution Committee</w:t>
      </w:r>
    </w:p>
    <w:p w14:paraId="4919262E" w14:textId="77777777" w:rsidR="00D51A06" w:rsidRDefault="00000000">
      <w:pPr>
        <w:pStyle w:val="Plattetekst"/>
      </w:pPr>
      <w:r>
        <w:t>A complaint that has not been resolved following the procedure set forth in Article 5 of this complaints procedure may be submitted to the Bar Dispute Resolution Committee for a binding ruling.</w:t>
      </w:r>
    </w:p>
    <w:p w14:paraId="4919262F" w14:textId="77777777" w:rsidR="00D51A06" w:rsidRDefault="00000000">
      <w:pPr>
        <w:pStyle w:val="Plattetekst"/>
        <w:spacing w:before="2"/>
      </w:pPr>
      <w:r>
        <w:t xml:space="preserve">Upon request, MA will provide further information about the </w:t>
      </w:r>
      <w:r>
        <w:rPr>
          <w:spacing w:val="-2"/>
        </w:rPr>
        <w:t xml:space="preserve">Bar </w:t>
      </w:r>
      <w:r>
        <w:t>Dispute Resolution Committee</w:t>
      </w:r>
      <w:r>
        <w:rPr>
          <w:spacing w:val="-2"/>
        </w:rPr>
        <w:t>.</w:t>
      </w:r>
    </w:p>
    <w:p w14:paraId="49192630" w14:textId="77777777" w:rsidR="00D51A06" w:rsidRDefault="00000000">
      <w:pPr>
        <w:pStyle w:val="Kop1"/>
        <w:spacing w:line="305" w:lineRule="exact"/>
        <w:rPr>
          <w:u w:val="none"/>
        </w:rPr>
      </w:pPr>
      <w:r>
        <w:rPr>
          <w:spacing w:val="-4"/>
          <w:sz w:val="26"/>
        </w:rPr>
        <w:t>Article 7 Confidentiality and Complaints Handling at No Cost</w:t>
      </w:r>
    </w:p>
    <w:p w14:paraId="49192631" w14:textId="77777777" w:rsidR="00D51A06" w:rsidRDefault="00000000">
      <w:pPr>
        <w:pStyle w:val="Plattetekst"/>
        <w:spacing w:line="293" w:lineRule="exact"/>
      </w:pPr>
      <w:r>
        <w:t xml:space="preserve">The complaints officer and the person against whom the </w:t>
      </w:r>
      <w:r>
        <w:rPr>
          <w:spacing w:val="-2"/>
        </w:rPr>
        <w:t xml:space="preserve">complaint </w:t>
      </w:r>
      <w:r>
        <w:t xml:space="preserve">is </w:t>
      </w:r>
      <w:r>
        <w:rPr>
          <w:spacing w:val="-2"/>
        </w:rPr>
        <w:t xml:space="preserve">filed </w:t>
      </w:r>
      <w:r>
        <w:t>shall observe</w:t>
      </w:r>
    </w:p>
    <w:p w14:paraId="49192632" w14:textId="77777777" w:rsidR="00D51A06" w:rsidRDefault="00D51A06">
      <w:pPr>
        <w:pStyle w:val="Plattetekst"/>
        <w:spacing w:before="2"/>
        <w:ind w:left="0"/>
      </w:pPr>
    </w:p>
    <w:p w14:paraId="49192633" w14:textId="77777777" w:rsidR="00D51A06" w:rsidRDefault="00000000">
      <w:pPr>
        <w:pStyle w:val="Plattetekst"/>
      </w:pPr>
      <w:r>
        <w:rPr>
          <w:spacing w:val="-4"/>
        </w:rPr>
        <w:t>.</w:t>
      </w:r>
    </w:p>
    <w:p w14:paraId="49192634" w14:textId="77777777" w:rsidR="00D51A06" w:rsidRDefault="00000000">
      <w:pPr>
        <w:pStyle w:val="Plattetekst"/>
      </w:pPr>
      <w:r>
        <w:t xml:space="preserve">The complainant is not required to pay any fees for the costs of handling the </w:t>
      </w:r>
      <w:r>
        <w:rPr>
          <w:spacing w:val="-2"/>
        </w:rPr>
        <w:t>complaint.</w:t>
      </w:r>
    </w:p>
    <w:p w14:paraId="49192635" w14:textId="77777777" w:rsidR="00D51A06" w:rsidRDefault="00000000">
      <w:pPr>
        <w:pStyle w:val="Kop1"/>
        <w:spacing w:line="301" w:lineRule="exact"/>
        <w:rPr>
          <w:u w:val="none"/>
        </w:rPr>
      </w:pPr>
      <w:r>
        <w:rPr>
          <w:spacing w:val="-2"/>
          <w:sz w:val="26"/>
        </w:rPr>
        <w:t>Article 8: Responsibilities</w:t>
      </w:r>
    </w:p>
    <w:p w14:paraId="49192636" w14:textId="77777777" w:rsidR="00D51A06" w:rsidRDefault="00000000">
      <w:pPr>
        <w:pStyle w:val="Plattetekst"/>
        <w:ind w:right="62"/>
      </w:pPr>
      <w:r>
        <w:t>The complaints officer is responsible for the timely resolution of the complaint. The person against whom the complaint was filed keeps the complaints officer informed of any contact and a possible resolution.</w:t>
      </w:r>
    </w:p>
    <w:p w14:paraId="49192637" w14:textId="77777777" w:rsidR="00D51A06" w:rsidRDefault="00000000">
      <w:pPr>
        <w:pStyle w:val="Plattetekst"/>
        <w:spacing w:line="237" w:lineRule="auto"/>
        <w:ind w:right="1087"/>
      </w:pPr>
      <w:r>
        <w:t>The complaints officer keeps the complainant informed about the handling of the complaint. The complaints officer maintains the complaint file.</w:t>
      </w:r>
    </w:p>
    <w:p w14:paraId="49192638" w14:textId="77777777" w:rsidR="00D51A06" w:rsidRDefault="00D51A06">
      <w:pPr>
        <w:pStyle w:val="Plattetekst"/>
        <w:spacing w:line="237" w:lineRule="auto"/>
        <w:sectPr w:rsidR="00D51A06">
          <w:pgSz w:w="11910" w:h="16850"/>
          <w:pgMar w:top="2420" w:right="1417" w:bottom="280" w:left="1275" w:header="1417" w:footer="0" w:gutter="0"/>
          <w:cols w:space="708"/>
        </w:sectPr>
      </w:pPr>
    </w:p>
    <w:p w14:paraId="49192639" w14:textId="77777777" w:rsidR="00D51A06" w:rsidRDefault="00000000">
      <w:pPr>
        <w:pStyle w:val="Kop1"/>
        <w:spacing w:before="297"/>
        <w:rPr>
          <w:u w:val="none"/>
        </w:rPr>
      </w:pPr>
      <w:r>
        <w:rPr>
          <w:spacing w:val="-2"/>
          <w:sz w:val="26"/>
        </w:rPr>
        <w:lastRenderedPageBreak/>
        <w:t>Article 9 Complaint Registration</w:t>
      </w:r>
    </w:p>
    <w:p w14:paraId="4919263A" w14:textId="77777777" w:rsidR="00D51A06" w:rsidRDefault="00000000">
      <w:pPr>
        <w:pStyle w:val="Plattetekst"/>
        <w:spacing w:before="4" w:line="237" w:lineRule="auto"/>
        <w:ind w:right="1087"/>
      </w:pPr>
      <w:r>
        <w:t>The complaints officer registers the complaint along with the subject of the complaint. A complaint may be classified under multiple subjects.</w:t>
      </w:r>
    </w:p>
    <w:p w14:paraId="4919263B" w14:textId="77777777" w:rsidR="00D51A06" w:rsidRDefault="00000000">
      <w:pPr>
        <w:pStyle w:val="Plattetekst"/>
        <w:spacing w:before="1"/>
      </w:pPr>
      <w:r>
        <w:t xml:space="preserve">The complaints officer periodically reports on the handling of complaints and makes recommendations to prevent new complaints, as well as to improve </w:t>
      </w:r>
      <w:r>
        <w:rPr>
          <w:spacing w:val="-2"/>
        </w:rPr>
        <w:t>procedures.</w:t>
      </w:r>
    </w:p>
    <w:p w14:paraId="4919263C" w14:textId="77777777" w:rsidR="00D51A06" w:rsidRDefault="00000000">
      <w:pPr>
        <w:pStyle w:val="Plattetekst"/>
        <w:spacing w:before="5" w:line="237" w:lineRule="auto"/>
      </w:pPr>
      <w:r>
        <w:t>At least once a year, the reports and recommendations are discussed at the office and submitted for decision-making.</w:t>
      </w:r>
    </w:p>
    <w:sectPr w:rsidR="00D51A06">
      <w:pgSz w:w="11910" w:h="16850"/>
      <w:pgMar w:top="2420" w:right="1417" w:bottom="280" w:left="1275" w:header="141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F8B8" w14:textId="77777777" w:rsidR="008421F3" w:rsidRDefault="008421F3">
      <w:r>
        <w:separator/>
      </w:r>
    </w:p>
  </w:endnote>
  <w:endnote w:type="continuationSeparator" w:id="0">
    <w:p w14:paraId="1B36D086" w14:textId="77777777" w:rsidR="008421F3" w:rsidRDefault="0084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0E24" w14:textId="77777777" w:rsidR="009C57FA" w:rsidRDefault="009C57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6DC6" w14:textId="77777777" w:rsidR="009C57FA" w:rsidRDefault="009C57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B2D8" w14:textId="77777777" w:rsidR="009C57FA" w:rsidRDefault="009C57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DAE1" w14:textId="77777777" w:rsidR="008421F3" w:rsidRDefault="008421F3">
      <w:r>
        <w:separator/>
      </w:r>
    </w:p>
  </w:footnote>
  <w:footnote w:type="continuationSeparator" w:id="0">
    <w:p w14:paraId="372C36B7" w14:textId="77777777" w:rsidR="008421F3" w:rsidRDefault="0084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1A42" w14:textId="77777777" w:rsidR="009C57FA" w:rsidRDefault="009C57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263D" w14:textId="1EB05FDF" w:rsidR="00D51A06" w:rsidRDefault="009C57FA">
    <w:pPr>
      <w:pStyle w:val="Plattetekst"/>
      <w:spacing w:line="14" w:lineRule="auto"/>
      <w:ind w:left="0"/>
      <w:rPr>
        <w:sz w:val="20"/>
      </w:rPr>
    </w:pPr>
    <w:r>
      <w:rPr>
        <w:noProof/>
        <w:sz w:val="20"/>
      </w:rPr>
      <w:drawing>
        <wp:anchor distT="0" distB="0" distL="114300" distR="114300" simplePos="0" relativeHeight="251658240" behindDoc="1" locked="0" layoutInCell="1" allowOverlap="1" wp14:anchorId="6F5AB411" wp14:editId="2D5F9F28">
          <wp:simplePos x="0" y="0"/>
          <wp:positionH relativeFrom="column">
            <wp:posOffset>0</wp:posOffset>
          </wp:positionH>
          <wp:positionV relativeFrom="paragraph">
            <wp:posOffset>-147320</wp:posOffset>
          </wp:positionV>
          <wp:extent cx="3086100" cy="410210"/>
          <wp:effectExtent l="0" t="0" r="0" b="8890"/>
          <wp:wrapTight wrapText="bothSides">
            <wp:wrapPolygon edited="0">
              <wp:start x="0" y="0"/>
              <wp:lineTo x="0" y="21065"/>
              <wp:lineTo x="8000" y="21065"/>
              <wp:lineTo x="8133" y="18056"/>
              <wp:lineTo x="21467" y="13040"/>
              <wp:lineTo x="21467" y="0"/>
              <wp:lineTo x="0" y="0"/>
            </wp:wrapPolygon>
          </wp:wrapTight>
          <wp:docPr id="51020185" name="Afbeelding 1"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0185" name="Afbeelding 1" descr="Afbeelding met Graphics, Lettertype, grafische vormgeving,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086100" cy="4102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457" w14:textId="77777777" w:rsidR="009C57FA" w:rsidRDefault="009C57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06"/>
    <w:rsid w:val="008421F3"/>
    <w:rsid w:val="009C57FA"/>
    <w:rsid w:val="00D51A06"/>
    <w:rsid w:val="00EF4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192614"/>
  <w15:docId w15:val="{41E3D657-5730-4DE3-B495-5D8A7812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w:eastAsia="Calibri" w:hAnsi="Calibri" w:cs="Calibri"/>
      <w:lang w:val="nl-NL"/>
    </w:rPr>
  </w:style>
  <w:style w:type="paragraph" w:styleId="Kop1">
    <w:name w:val="heading 1"/>
    <w:basedOn w:val="Standaard"/>
    <w:uiPriority w:val="1"/>
    <w:qFormat/>
    <w:pPr>
      <w:spacing w:before="278"/>
      <w:ind w:left="141"/>
      <w:outlineLvl w:val="0"/>
    </w:pPr>
    <w:rPr>
      <w:sz w:val="25"/>
      <w:szCs w:val="25"/>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41"/>
    </w:pPr>
    <w:rPr>
      <w:sz w:val="24"/>
      <w:szCs w:val="24"/>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9C57FA"/>
    <w:pPr>
      <w:tabs>
        <w:tab w:val="center" w:pos="4536"/>
        <w:tab w:val="right" w:pos="9072"/>
      </w:tabs>
    </w:pPr>
  </w:style>
  <w:style w:type="character" w:customStyle="1" w:styleId="KoptekstChar">
    <w:name w:val="Koptekst Char"/>
    <w:basedOn w:val="Standaardalinea-lettertype"/>
    <w:link w:val="Koptekst"/>
    <w:uiPriority w:val="99"/>
    <w:rsid w:val="009C57FA"/>
    <w:rPr>
      <w:rFonts w:ascii="Calibri" w:eastAsia="Calibri" w:hAnsi="Calibri" w:cs="Calibri"/>
      <w:lang w:val="nl-NL"/>
    </w:rPr>
  </w:style>
  <w:style w:type="paragraph" w:styleId="Voettekst">
    <w:name w:val="footer"/>
    <w:basedOn w:val="Standaard"/>
    <w:link w:val="VoettekstChar"/>
    <w:uiPriority w:val="99"/>
    <w:unhideWhenUsed/>
    <w:rsid w:val="009C57FA"/>
    <w:pPr>
      <w:tabs>
        <w:tab w:val="center" w:pos="4536"/>
        <w:tab w:val="right" w:pos="9072"/>
      </w:tabs>
    </w:pPr>
  </w:style>
  <w:style w:type="character" w:customStyle="1" w:styleId="VoettekstChar">
    <w:name w:val="Voettekst Char"/>
    <w:basedOn w:val="Standaardalinea-lettertype"/>
    <w:link w:val="Voettekst"/>
    <w:uiPriority w:val="99"/>
    <w:rsid w:val="009C57FA"/>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4008</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Klachtenregeling MannaertsAppels.docx</dc:title>
  <dc:creator>Laurien Broeders</dc:creator>
  <cp:keywords>, docId:E60997B268906A1E62644A7E0D2A41E7</cp:keywords>
  <cp:lastModifiedBy>Germaine Paulusse | MannaertsAppels Advocaten</cp:lastModifiedBy>
  <cp:revision>1</cp:revision>
  <dcterms:created xsi:type="dcterms:W3CDTF">2026-04-08T10:11:00Z</dcterms:created>
  <dcterms:modified xsi:type="dcterms:W3CDTF">2026-04-09T07:45:00Z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2026-04-08T00:00:00Z</vt:filetime>
  </property>
  <property fmtid="{D5CDD505-2E9C-101B-9397-08002B2CF9AE}" pid="5" name="Producer">
    <vt:lpwstr>Microsoft® Word 2019</vt:lpwstr>
  </property>
</Properties>
</file>