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2.0 -->
  <w:body>
    <w:p>
      <w:pPr>
        <w:pStyle w:val="Heading1"/>
      </w:pPr>
      <w:r>
        <w:rPr>
          <w:color w:val="4D4D4D"/>
          <w:sz w:val="23"/>
        </w:rPr>
        <w:t xml:space="preserve">Conditions </w:t>
      </w:r>
      <w:r>
        <w:rPr>
          <w:color w:val="4D4D4D"/>
          <w:sz w:val="23"/>
        </w:rPr>
        <w:t xml:space="preserve">générales de </w:t>
      </w:r>
      <w:r>
        <w:rPr>
          <w:color w:val="4D4D4D"/>
          <w:sz w:val="23"/>
        </w:rPr>
        <w:t xml:space="preserve">MannaertsAppels </w:t>
      </w:r>
      <w:r>
        <w:rPr>
          <w:color w:val="4D4D4D"/>
          <w:spacing w:val="-4"/>
          <w:sz w:val="23"/>
        </w:rPr>
        <w:t>N.V.</w:t>
      </w:r>
    </w:p>
    <w:p>
      <w:pPr>
        <w:pStyle w:val="Heading2"/>
        <w:spacing w:before="197"/>
      </w:pPr>
      <w:r>
        <w:rPr>
          <w:sz w:val="16"/>
        </w:rPr>
        <w:t>Article</w:t>
      </w:r>
      <w:r>
        <w:rPr>
          <w:sz w:val="16"/>
        </w:rPr>
        <w:t xml:space="preserve"> 1 </w:t>
      </w:r>
      <w:r>
        <w:rPr>
          <w:sz w:val="16"/>
        </w:rPr>
        <w:t xml:space="preserve">– </w:t>
      </w:r>
      <w:r>
        <w:rPr>
          <w:spacing w:val="-2"/>
          <w:sz w:val="16"/>
        </w:rPr>
        <w:t>Généralités</w:t>
      </w:r>
    </w:p>
    <w:p>
      <w:pPr>
        <w:pStyle w:val="ListParagraph"/>
        <w:numPr>
          <w:ilvl w:val="1"/>
          <w:numId w:val="6"/>
        </w:numPr>
        <w:tabs>
          <w:tab w:val="left" w:pos="367"/>
          <w:tab w:val="left" w:pos="369"/>
        </w:tabs>
        <w:spacing w:before="0" w:after="0" w:line="240" w:lineRule="auto"/>
        <w:ind w:left="369" w:right="92" w:hanging="284"/>
        <w:jc w:val="left"/>
        <w:rPr>
          <w:sz w:val="16"/>
        </w:rPr>
      </w:pPr>
      <w:r>
        <w:rPr>
          <w:sz w:val="16"/>
        </w:rPr>
        <w:t xml:space="preserve">MannaertsAppels N.V. (ci-après dénommée « MA ») est une </w:t>
      </w:r>
      <w:r>
        <w:rPr>
          <w:sz w:val="16"/>
        </w:rPr>
        <w:t xml:space="preserve">société </w:t>
      </w:r>
      <w:r>
        <w:rPr>
          <w:sz w:val="16"/>
        </w:rPr>
        <w:t xml:space="preserve">anonyme </w:t>
      </w:r>
      <w:r>
        <w:rPr>
          <w:sz w:val="16"/>
        </w:rPr>
        <w:t xml:space="preserve">de </w:t>
      </w:r>
      <w:r>
        <w:rPr>
          <w:sz w:val="16"/>
        </w:rPr>
        <w:t xml:space="preserve">droit </w:t>
      </w:r>
      <w:r>
        <w:rPr>
          <w:sz w:val="16"/>
        </w:rPr>
        <w:t xml:space="preserve">néerlandais </w:t>
      </w:r>
      <w:r>
        <w:rPr>
          <w:sz w:val="16"/>
        </w:rPr>
        <w:t xml:space="preserve">dont </w:t>
      </w:r>
      <w:r>
        <w:rPr>
          <w:sz w:val="16"/>
        </w:rPr>
        <w:t>l'objet</w:t>
      </w:r>
      <w:r>
        <w:rPr>
          <w:sz w:val="16"/>
        </w:rPr>
        <w:t xml:space="preserve"> </w:t>
      </w:r>
      <w:r>
        <w:rPr>
          <w:sz w:val="16"/>
        </w:rPr>
        <w:t>est l'exercice de la profession d'avocat.</w:t>
      </w:r>
    </w:p>
    <w:p>
      <w:pPr>
        <w:pStyle w:val="BodyText"/>
        <w:spacing w:before="1"/>
        <w:ind w:left="0" w:firstLine="0"/>
      </w:pPr>
    </w:p>
    <w:p>
      <w:pPr>
        <w:pStyle w:val="Heading2"/>
      </w:pPr>
      <w:r>
        <w:rPr>
          <w:sz w:val="16"/>
        </w:rPr>
        <w:t>Article</w:t>
      </w:r>
      <w:r>
        <w:rPr>
          <w:sz w:val="16"/>
        </w:rPr>
        <w:t xml:space="preserve"> 2 </w:t>
      </w:r>
      <w:r>
        <w:rPr>
          <w:sz w:val="16"/>
        </w:rPr>
        <w:t xml:space="preserve">– </w:t>
      </w:r>
      <w:r>
        <w:rPr>
          <w:sz w:val="16"/>
        </w:rPr>
        <w:t xml:space="preserve">Applicabilité </w:t>
      </w:r>
      <w:r>
        <w:rPr>
          <w:sz w:val="16"/>
        </w:rPr>
        <w:t xml:space="preserve">et </w:t>
      </w:r>
      <w:r>
        <w:rPr>
          <w:spacing w:val="-2"/>
          <w:sz w:val="16"/>
        </w:rPr>
        <w:t>conclusion</w:t>
      </w:r>
    </w:p>
    <w:p>
      <w:pPr>
        <w:pStyle w:val="ListParagraph"/>
        <w:numPr>
          <w:ilvl w:val="1"/>
          <w:numId w:val="5"/>
        </w:numPr>
        <w:tabs>
          <w:tab w:val="left" w:pos="367"/>
          <w:tab w:val="left" w:pos="369"/>
        </w:tabs>
        <w:spacing w:before="0" w:after="0" w:line="240" w:lineRule="auto"/>
        <w:ind w:left="369" w:right="165" w:hanging="284"/>
        <w:jc w:val="left"/>
        <w:rPr>
          <w:sz w:val="16"/>
        </w:rPr>
      </w:pPr>
      <w:r>
        <w:rPr>
          <w:sz w:val="16"/>
        </w:rPr>
        <w:t>Les</w:t>
      </w:r>
      <w:r>
        <w:rPr>
          <w:sz w:val="16"/>
        </w:rPr>
        <w:t xml:space="preserve"> présentes </w:t>
      </w:r>
      <w:r>
        <w:rPr>
          <w:sz w:val="16"/>
        </w:rPr>
        <w:t xml:space="preserve">conditions </w:t>
      </w:r>
      <w:r>
        <w:rPr>
          <w:sz w:val="16"/>
        </w:rPr>
        <w:t xml:space="preserve">générales </w:t>
      </w:r>
      <w:r>
        <w:rPr>
          <w:sz w:val="16"/>
        </w:rPr>
        <w:t xml:space="preserve">s'appliquent, </w:t>
      </w:r>
      <w:r>
        <w:rPr>
          <w:sz w:val="16"/>
        </w:rPr>
        <w:t xml:space="preserve">à </w:t>
      </w:r>
      <w:r>
        <w:rPr>
          <w:sz w:val="16"/>
        </w:rPr>
        <w:t xml:space="preserve">l'exclusion </w:t>
      </w:r>
      <w:r>
        <w:rPr>
          <w:sz w:val="16"/>
        </w:rPr>
        <w:t xml:space="preserve">de </w:t>
      </w:r>
      <w:r>
        <w:rPr>
          <w:sz w:val="16"/>
        </w:rPr>
        <w:t xml:space="preserve">toute </w:t>
      </w:r>
      <w:r>
        <w:rPr>
          <w:sz w:val="16"/>
        </w:rPr>
        <w:t xml:space="preserve">autre </w:t>
      </w:r>
      <w:r>
        <w:rPr>
          <w:sz w:val="16"/>
        </w:rPr>
        <w:t xml:space="preserve">condition générale, à toutes </w:t>
      </w:r>
      <w:r>
        <w:rPr>
          <w:sz w:val="16"/>
        </w:rPr>
        <w:t xml:space="preserve">les relations juridiques (y compris futures) entre </w:t>
      </w:r>
      <w:r>
        <w:rPr>
          <w:sz w:val="16"/>
        </w:rPr>
        <w:t>MA et le client.</w:t>
      </w:r>
    </w:p>
    <w:p>
      <w:pPr>
        <w:pStyle w:val="ListParagraph"/>
        <w:numPr>
          <w:ilvl w:val="1"/>
          <w:numId w:val="5"/>
        </w:numPr>
        <w:tabs>
          <w:tab w:val="left" w:pos="367"/>
          <w:tab w:val="left" w:pos="369"/>
        </w:tabs>
        <w:spacing w:before="0" w:after="0" w:line="240" w:lineRule="auto"/>
        <w:ind w:left="369" w:right="184" w:hanging="284"/>
        <w:jc w:val="left"/>
        <w:rPr>
          <w:sz w:val="16"/>
        </w:rPr>
      </w:pPr>
      <w:r>
        <w:rPr>
          <w:sz w:val="16"/>
        </w:rPr>
        <w:t>Les</w:t>
      </w:r>
      <w:r>
        <w:rPr>
          <w:sz w:val="16"/>
        </w:rPr>
        <w:t xml:space="preserve"> présentes </w:t>
      </w:r>
      <w:r>
        <w:rPr>
          <w:sz w:val="16"/>
        </w:rPr>
        <w:t xml:space="preserve">conditions </w:t>
      </w:r>
      <w:r>
        <w:rPr>
          <w:sz w:val="16"/>
        </w:rPr>
        <w:t xml:space="preserve">générales </w:t>
      </w:r>
      <w:r>
        <w:rPr>
          <w:sz w:val="16"/>
        </w:rPr>
        <w:t xml:space="preserve">sont </w:t>
      </w:r>
      <w:r>
        <w:rPr>
          <w:sz w:val="16"/>
        </w:rPr>
        <w:t xml:space="preserve">également </w:t>
      </w:r>
      <w:r>
        <w:rPr>
          <w:sz w:val="16"/>
        </w:rPr>
        <w:t xml:space="preserve">stipulées </w:t>
      </w:r>
      <w:r>
        <w:rPr>
          <w:sz w:val="16"/>
        </w:rPr>
        <w:t xml:space="preserve">au </w:t>
      </w:r>
      <w:r>
        <w:rPr>
          <w:sz w:val="16"/>
        </w:rPr>
        <w:t xml:space="preserve">profit </w:t>
      </w:r>
      <w:r>
        <w:rPr>
          <w:sz w:val="16"/>
        </w:rPr>
        <w:t>des personnes impliquées dans l'exécution de la mission.</w:t>
      </w:r>
    </w:p>
    <w:p>
      <w:pPr>
        <w:pStyle w:val="ListParagraph"/>
        <w:numPr>
          <w:ilvl w:val="1"/>
          <w:numId w:val="5"/>
        </w:numPr>
        <w:tabs>
          <w:tab w:val="left" w:pos="367"/>
          <w:tab w:val="left" w:pos="369"/>
        </w:tabs>
        <w:spacing w:before="0" w:after="0" w:line="240" w:lineRule="auto"/>
        <w:ind w:left="369" w:right="217" w:hanging="284"/>
        <w:jc w:val="left"/>
        <w:rPr>
          <w:sz w:val="16"/>
        </w:rPr>
      </w:pPr>
      <w:r>
        <w:rPr>
          <w:sz w:val="16"/>
        </w:rPr>
        <w:t xml:space="preserve">Le </w:t>
      </w:r>
      <w:r>
        <w:rPr>
          <w:sz w:val="16"/>
        </w:rPr>
        <w:t xml:space="preserve">contrat </w:t>
      </w:r>
      <w:r>
        <w:rPr>
          <w:sz w:val="16"/>
        </w:rPr>
        <w:t xml:space="preserve">est </w:t>
      </w:r>
      <w:r>
        <w:rPr>
          <w:sz w:val="16"/>
        </w:rPr>
        <w:t xml:space="preserve">conclu </w:t>
      </w:r>
      <w:r>
        <w:rPr>
          <w:sz w:val="16"/>
        </w:rPr>
        <w:t xml:space="preserve">pour </w:t>
      </w:r>
      <w:r>
        <w:rPr>
          <w:sz w:val="16"/>
        </w:rPr>
        <w:t xml:space="preserve">une durée </w:t>
      </w:r>
      <w:r>
        <w:rPr>
          <w:sz w:val="16"/>
        </w:rPr>
        <w:t>indéterminée</w:t>
      </w:r>
      <w:r>
        <w:rPr>
          <w:sz w:val="16"/>
        </w:rPr>
        <w:t xml:space="preserve">, </w:t>
      </w:r>
      <w:r>
        <w:rPr>
          <w:sz w:val="16"/>
        </w:rPr>
        <w:t xml:space="preserve">sauf </w:t>
      </w:r>
      <w:r>
        <w:rPr>
          <w:sz w:val="16"/>
        </w:rPr>
        <w:t xml:space="preserve">s'il ressort </w:t>
      </w:r>
      <w:r>
        <w:rPr>
          <w:sz w:val="16"/>
        </w:rPr>
        <w:t xml:space="preserve">du contenu, de la nature ou de la portée de la mission confiée </w:t>
      </w:r>
      <w:r>
        <w:rPr>
          <w:sz w:val="16"/>
        </w:rPr>
        <w:t>que celle-ci a été conclue pour une durée déterminée.</w:t>
      </w:r>
    </w:p>
    <w:p>
      <w:pPr>
        <w:pStyle w:val="ListParagraph"/>
        <w:numPr>
          <w:ilvl w:val="1"/>
          <w:numId w:val="5"/>
        </w:numPr>
        <w:tabs>
          <w:tab w:val="left" w:pos="367"/>
          <w:tab w:val="left" w:pos="369"/>
        </w:tabs>
        <w:spacing w:before="0" w:after="0" w:line="240" w:lineRule="auto"/>
        <w:ind w:left="369" w:right="62" w:hanging="284"/>
        <w:jc w:val="left"/>
        <w:rPr>
          <w:sz w:val="16"/>
        </w:rPr>
      </w:pPr>
      <w:r>
        <w:rPr>
          <w:sz w:val="16"/>
        </w:rPr>
        <w:t xml:space="preserve">Conformément aux </w:t>
      </w:r>
      <w:r>
        <w:rPr>
          <w:sz w:val="16"/>
        </w:rPr>
        <w:t>dispositions</w:t>
      </w:r>
      <w:r>
        <w:rPr>
          <w:sz w:val="16"/>
        </w:rPr>
        <w:t xml:space="preserve"> de la loi sur la prévention du blanchiment d'argent </w:t>
      </w:r>
      <w:r>
        <w:rPr>
          <w:sz w:val="16"/>
        </w:rPr>
        <w:t xml:space="preserve">et du financement du terrorisme (Wwft) et du règlement sur la </w:t>
      </w:r>
      <w:r>
        <w:rPr>
          <w:sz w:val="16"/>
        </w:rPr>
        <w:t>profession d'avocat</w:t>
      </w:r>
      <w:r>
        <w:rPr>
          <w:sz w:val="16"/>
        </w:rPr>
        <w:t xml:space="preserve">, </w:t>
      </w:r>
      <w:r>
        <w:rPr>
          <w:sz w:val="16"/>
        </w:rPr>
        <w:t xml:space="preserve">le </w:t>
      </w:r>
      <w:r>
        <w:rPr>
          <w:sz w:val="16"/>
        </w:rPr>
        <w:t xml:space="preserve">client </w:t>
      </w:r>
      <w:r>
        <w:rPr>
          <w:sz w:val="16"/>
        </w:rPr>
        <w:t xml:space="preserve">est </w:t>
      </w:r>
      <w:r>
        <w:rPr>
          <w:sz w:val="16"/>
        </w:rPr>
        <w:t>tenu</w:t>
      </w:r>
      <w:r>
        <w:rPr>
          <w:sz w:val="16"/>
        </w:rPr>
        <w:t xml:space="preserve">, </w:t>
      </w:r>
      <w:r>
        <w:rPr>
          <w:sz w:val="16"/>
        </w:rPr>
        <w:t xml:space="preserve">lors </w:t>
      </w:r>
      <w:r>
        <w:rPr>
          <w:sz w:val="16"/>
        </w:rPr>
        <w:t>de</w:t>
      </w:r>
      <w:r>
        <w:rPr>
          <w:sz w:val="16"/>
        </w:rPr>
        <w:t xml:space="preserve"> la </w:t>
      </w:r>
      <w:r>
        <w:rPr>
          <w:sz w:val="16"/>
        </w:rPr>
        <w:t xml:space="preserve">passation de la mission ou immédiatement à la première demande </w:t>
      </w:r>
      <w:r>
        <w:rPr>
          <w:sz w:val="16"/>
        </w:rPr>
        <w:t>ultérieure, de s'identifier au moyen d'une pièce d'identité valide.</w:t>
      </w:r>
    </w:p>
    <w:p>
      <w:pPr>
        <w:pStyle w:val="BodyText"/>
        <w:ind w:left="0" w:firstLine="0"/>
      </w:pPr>
    </w:p>
    <w:p>
      <w:pPr>
        <w:pStyle w:val="Heading2"/>
        <w:spacing w:before="1"/>
      </w:pPr>
      <w:r>
        <w:rPr>
          <w:sz w:val="16"/>
        </w:rPr>
        <w:t>Article</w:t>
      </w:r>
      <w:r>
        <w:rPr>
          <w:sz w:val="16"/>
        </w:rPr>
        <w:t xml:space="preserve"> 3 </w:t>
      </w:r>
      <w:r>
        <w:rPr>
          <w:sz w:val="16"/>
        </w:rPr>
        <w:t xml:space="preserve">– </w:t>
      </w:r>
      <w:r>
        <w:rPr>
          <w:sz w:val="16"/>
        </w:rPr>
        <w:t xml:space="preserve">Acceptation </w:t>
      </w:r>
      <w:r>
        <w:rPr>
          <w:sz w:val="16"/>
        </w:rPr>
        <w:t xml:space="preserve">et </w:t>
      </w:r>
      <w:r>
        <w:rPr>
          <w:sz w:val="16"/>
        </w:rPr>
        <w:t xml:space="preserve">exécution </w:t>
      </w:r>
      <w:r>
        <w:rPr>
          <w:spacing w:val="-2"/>
          <w:sz w:val="16"/>
        </w:rPr>
        <w:t>de la mission</w:t>
      </w:r>
    </w:p>
    <w:p>
      <w:pPr>
        <w:pStyle w:val="ListParagraph"/>
        <w:numPr>
          <w:ilvl w:val="1"/>
          <w:numId w:val="4"/>
        </w:numPr>
        <w:tabs>
          <w:tab w:val="left" w:pos="367"/>
          <w:tab w:val="left" w:pos="369"/>
        </w:tabs>
        <w:spacing w:before="0" w:after="0" w:line="240" w:lineRule="auto"/>
        <w:ind w:left="369" w:right="38" w:hanging="284"/>
        <w:jc w:val="left"/>
        <w:rPr>
          <w:sz w:val="16"/>
        </w:rPr>
      </w:pPr>
      <w:r>
        <w:rPr>
          <w:sz w:val="16"/>
        </w:rPr>
        <w:t xml:space="preserve">Toutes </w:t>
      </w:r>
      <w:r>
        <w:rPr>
          <w:sz w:val="16"/>
        </w:rPr>
        <w:t xml:space="preserve">les missions </w:t>
      </w:r>
      <w:r>
        <w:rPr>
          <w:sz w:val="16"/>
        </w:rPr>
        <w:t xml:space="preserve">sont </w:t>
      </w:r>
      <w:r>
        <w:rPr>
          <w:sz w:val="16"/>
        </w:rPr>
        <w:t xml:space="preserve">réputées </w:t>
      </w:r>
      <w:r>
        <w:rPr>
          <w:sz w:val="16"/>
        </w:rPr>
        <w:t xml:space="preserve">avoir été </w:t>
      </w:r>
      <w:r>
        <w:rPr>
          <w:sz w:val="16"/>
        </w:rPr>
        <w:t xml:space="preserve">confiées </w:t>
      </w:r>
      <w:r>
        <w:rPr>
          <w:sz w:val="16"/>
        </w:rPr>
        <w:t xml:space="preserve">exclusivement </w:t>
      </w:r>
      <w:r>
        <w:rPr>
          <w:sz w:val="16"/>
        </w:rPr>
        <w:t xml:space="preserve">à </w:t>
      </w:r>
      <w:r>
        <w:rPr>
          <w:sz w:val="16"/>
        </w:rPr>
        <w:t>MA</w:t>
      </w:r>
      <w:r>
        <w:rPr>
          <w:sz w:val="16"/>
        </w:rPr>
        <w:t xml:space="preserve">, </w:t>
      </w:r>
      <w:r>
        <w:rPr>
          <w:sz w:val="16"/>
        </w:rPr>
        <w:t xml:space="preserve">et </w:t>
      </w:r>
      <w:r>
        <w:rPr>
          <w:sz w:val="16"/>
        </w:rPr>
        <w:t xml:space="preserve">le contrat de mission est conclu exclusivement avec </w:t>
      </w:r>
      <w:r>
        <w:rPr>
          <w:sz w:val="16"/>
        </w:rPr>
        <w:t xml:space="preserve">MA, même si l'intention expresse ou tacite </w:t>
      </w:r>
      <w:r>
        <w:rPr>
          <w:sz w:val="16"/>
        </w:rPr>
        <w:t xml:space="preserve">du donneur d'ordre est qu'une mission </w:t>
      </w:r>
      <w:r>
        <w:rPr>
          <w:sz w:val="16"/>
        </w:rPr>
        <w:t xml:space="preserve">soit </w:t>
      </w:r>
      <w:r>
        <w:rPr>
          <w:sz w:val="16"/>
        </w:rPr>
        <w:t xml:space="preserve">exécutée </w:t>
      </w:r>
      <w:r>
        <w:rPr>
          <w:sz w:val="16"/>
        </w:rPr>
        <w:t xml:space="preserve">par une ou plusieurs </w:t>
      </w:r>
      <w:r>
        <w:rPr>
          <w:sz w:val="16"/>
        </w:rPr>
        <w:t xml:space="preserve">personnes </w:t>
      </w:r>
      <w:r>
        <w:rPr>
          <w:sz w:val="16"/>
        </w:rPr>
        <w:t>déterminées</w:t>
      </w:r>
      <w:r>
        <w:rPr>
          <w:sz w:val="16"/>
        </w:rPr>
        <w:t xml:space="preserve">. </w:t>
      </w:r>
      <w:r>
        <w:rPr>
          <w:sz w:val="16"/>
        </w:rPr>
        <w:t xml:space="preserve">L'application </w:t>
      </w:r>
      <w:r>
        <w:rPr>
          <w:sz w:val="16"/>
        </w:rPr>
        <w:t xml:space="preserve">des </w:t>
      </w:r>
      <w:r>
        <w:rPr>
          <w:sz w:val="16"/>
        </w:rPr>
        <w:t>articles</w:t>
      </w:r>
      <w:r>
        <w:rPr>
          <w:sz w:val="16"/>
        </w:rPr>
        <w:t xml:space="preserve"> 7:404 </w:t>
      </w:r>
      <w:r>
        <w:rPr>
          <w:sz w:val="16"/>
        </w:rPr>
        <w:t>et</w:t>
      </w:r>
      <w:r>
        <w:rPr>
          <w:sz w:val="16"/>
        </w:rPr>
        <w:t xml:space="preserve"> 7:407, </w:t>
      </w:r>
      <w:r>
        <w:rPr>
          <w:sz w:val="16"/>
        </w:rPr>
        <w:t>paragraphe 2, du Code civil néerlandais est expressément exclue.</w:t>
      </w:r>
    </w:p>
    <w:p>
      <w:pPr>
        <w:pStyle w:val="ListParagraph"/>
        <w:numPr>
          <w:ilvl w:val="1"/>
          <w:numId w:val="4"/>
        </w:numPr>
        <w:tabs>
          <w:tab w:val="left" w:pos="367"/>
          <w:tab w:val="left" w:pos="369"/>
        </w:tabs>
        <w:spacing w:before="0" w:after="0" w:line="240" w:lineRule="auto"/>
        <w:ind w:left="369" w:right="207" w:hanging="284"/>
        <w:jc w:val="left"/>
        <w:rPr>
          <w:sz w:val="16"/>
        </w:rPr>
      </w:pPr>
      <w:r>
        <w:rPr>
          <w:sz w:val="16"/>
        </w:rPr>
        <w:t>Sans préjudice des autres dispositions légales</w:t>
      </w:r>
      <w:r>
        <w:rPr>
          <w:sz w:val="16"/>
        </w:rPr>
        <w:t>,</w:t>
      </w:r>
      <w:r>
        <w:rPr>
          <w:sz w:val="16"/>
        </w:rPr>
        <w:t xml:space="preserve"> MA peut </w:t>
      </w:r>
      <w:r>
        <w:rPr>
          <w:sz w:val="16"/>
        </w:rPr>
        <w:t xml:space="preserve">résilier </w:t>
      </w:r>
      <w:r>
        <w:rPr>
          <w:sz w:val="16"/>
        </w:rPr>
        <w:t xml:space="preserve">le </w:t>
      </w:r>
      <w:r>
        <w:rPr>
          <w:sz w:val="16"/>
        </w:rPr>
        <w:t xml:space="preserve">contrat </w:t>
      </w:r>
      <w:r>
        <w:rPr>
          <w:sz w:val="16"/>
        </w:rPr>
        <w:t xml:space="preserve">à </w:t>
      </w:r>
      <w:r>
        <w:rPr>
          <w:sz w:val="16"/>
        </w:rPr>
        <w:t xml:space="preserve">tout </w:t>
      </w:r>
      <w:r>
        <w:rPr>
          <w:sz w:val="16"/>
        </w:rPr>
        <w:t>moment</w:t>
      </w:r>
      <w:r>
        <w:rPr>
          <w:sz w:val="16"/>
        </w:rPr>
        <w:t xml:space="preserve">, </w:t>
      </w:r>
      <w:r>
        <w:rPr>
          <w:sz w:val="16"/>
        </w:rPr>
        <w:t xml:space="preserve">à condition que </w:t>
      </w:r>
      <w:r>
        <w:rPr>
          <w:sz w:val="16"/>
        </w:rPr>
        <w:t xml:space="preserve">cela se fasse dans un </w:t>
      </w:r>
      <w:r>
        <w:rPr>
          <w:sz w:val="16"/>
        </w:rPr>
        <w:t xml:space="preserve">délai raisonnable </w:t>
      </w:r>
      <w:r>
        <w:rPr>
          <w:sz w:val="16"/>
        </w:rPr>
        <w:t xml:space="preserve">compte tenu des </w:t>
      </w:r>
      <w:r>
        <w:rPr>
          <w:sz w:val="16"/>
        </w:rPr>
        <w:t>circonstances.</w:t>
      </w:r>
    </w:p>
    <w:p>
      <w:pPr>
        <w:pStyle w:val="ListParagraph"/>
        <w:numPr>
          <w:ilvl w:val="1"/>
          <w:numId w:val="4"/>
        </w:numPr>
        <w:tabs>
          <w:tab w:val="left" w:pos="367"/>
          <w:tab w:val="left" w:pos="369"/>
        </w:tabs>
        <w:spacing w:before="0" w:after="0" w:line="240" w:lineRule="auto"/>
        <w:ind w:left="369" w:right="244" w:hanging="284"/>
        <w:jc w:val="left"/>
        <w:rPr>
          <w:sz w:val="16"/>
        </w:rPr>
      </w:pPr>
      <w:r>
        <w:rPr>
          <w:sz w:val="16"/>
        </w:rPr>
        <w:t xml:space="preserve">En cas de résiliation du contrat, le donneur d'ordre est </w:t>
      </w:r>
      <w:r>
        <w:rPr>
          <w:sz w:val="16"/>
        </w:rPr>
        <w:t xml:space="preserve">tenu </w:t>
      </w:r>
      <w:r>
        <w:rPr>
          <w:sz w:val="16"/>
        </w:rPr>
        <w:t xml:space="preserve">de </w:t>
      </w:r>
      <w:r>
        <w:rPr>
          <w:sz w:val="16"/>
        </w:rPr>
        <w:t xml:space="preserve">payer </w:t>
      </w:r>
      <w:r>
        <w:rPr>
          <w:sz w:val="16"/>
        </w:rPr>
        <w:t xml:space="preserve">la rémunération </w:t>
      </w:r>
      <w:r>
        <w:rPr>
          <w:sz w:val="16"/>
        </w:rPr>
        <w:t xml:space="preserve">pour </w:t>
      </w:r>
      <w:r>
        <w:rPr>
          <w:sz w:val="16"/>
        </w:rPr>
        <w:t xml:space="preserve">les </w:t>
      </w:r>
      <w:r>
        <w:rPr>
          <w:sz w:val="16"/>
        </w:rPr>
        <w:t xml:space="preserve">travaux effectués </w:t>
      </w:r>
      <w:r>
        <w:rPr>
          <w:sz w:val="16"/>
        </w:rPr>
        <w:t xml:space="preserve">jusqu'au </w:t>
      </w:r>
      <w:r>
        <w:rPr>
          <w:sz w:val="16"/>
        </w:rPr>
        <w:t xml:space="preserve">moment </w:t>
      </w:r>
      <w:r>
        <w:rPr>
          <w:sz w:val="16"/>
        </w:rPr>
        <w:t xml:space="preserve">de </w:t>
      </w:r>
      <w:r>
        <w:rPr>
          <w:sz w:val="16"/>
        </w:rPr>
        <w:t>la résiliation.</w:t>
      </w:r>
    </w:p>
    <w:p>
      <w:pPr>
        <w:pStyle w:val="ListParagraph"/>
        <w:numPr>
          <w:ilvl w:val="1"/>
          <w:numId w:val="4"/>
        </w:numPr>
        <w:tabs>
          <w:tab w:val="left" w:pos="367"/>
          <w:tab w:val="left" w:pos="369"/>
        </w:tabs>
        <w:spacing w:before="0" w:after="0" w:line="240" w:lineRule="auto"/>
        <w:ind w:left="369" w:right="233" w:hanging="284"/>
        <w:jc w:val="left"/>
        <w:rPr>
          <w:sz w:val="16"/>
        </w:rPr>
      </w:pPr>
      <w:r>
        <w:rPr>
          <w:sz w:val="16"/>
        </w:rPr>
        <w:t xml:space="preserve">MA exécute les missions exclusivement au profit du </w:t>
      </w:r>
      <w:r>
        <w:rPr>
          <w:sz w:val="16"/>
        </w:rPr>
        <w:t xml:space="preserve">donneur d'ordre. </w:t>
      </w:r>
      <w:r>
        <w:rPr>
          <w:sz w:val="16"/>
        </w:rPr>
        <w:t xml:space="preserve">Les tiers </w:t>
      </w:r>
      <w:r>
        <w:rPr>
          <w:sz w:val="16"/>
        </w:rPr>
        <w:t xml:space="preserve">ne </w:t>
      </w:r>
      <w:r>
        <w:rPr>
          <w:sz w:val="16"/>
        </w:rPr>
        <w:t xml:space="preserve">peuvent </w:t>
      </w:r>
      <w:r>
        <w:rPr>
          <w:sz w:val="16"/>
        </w:rPr>
        <w:t xml:space="preserve">en </w:t>
      </w:r>
      <w:r>
        <w:rPr>
          <w:sz w:val="16"/>
        </w:rPr>
        <w:t xml:space="preserve">tirer </w:t>
      </w:r>
      <w:r>
        <w:rPr>
          <w:sz w:val="16"/>
        </w:rPr>
        <w:t xml:space="preserve">aucun </w:t>
      </w:r>
      <w:r>
        <w:rPr>
          <w:sz w:val="16"/>
        </w:rPr>
        <w:t>droit</w:t>
      </w:r>
      <w:r>
        <w:rPr>
          <w:sz w:val="16"/>
        </w:rPr>
        <w:t>.</w:t>
      </w:r>
    </w:p>
    <w:p>
      <w:pPr>
        <w:pStyle w:val="ListParagraph"/>
        <w:numPr>
          <w:ilvl w:val="1"/>
          <w:numId w:val="4"/>
        </w:numPr>
        <w:tabs>
          <w:tab w:val="left" w:pos="367"/>
          <w:tab w:val="left" w:pos="369"/>
        </w:tabs>
        <w:spacing w:before="0" w:after="0" w:line="240" w:lineRule="auto"/>
        <w:ind w:left="369" w:right="130" w:hanging="284"/>
        <w:jc w:val="left"/>
        <w:rPr>
          <w:sz w:val="16"/>
        </w:rPr>
      </w:pPr>
      <w:r>
        <w:rPr>
          <w:sz w:val="16"/>
        </w:rPr>
        <w:t xml:space="preserve">Si la commande a été passée et le contrat </w:t>
      </w:r>
      <w:r>
        <w:rPr>
          <w:sz w:val="16"/>
        </w:rPr>
        <w:t>conclu</w:t>
      </w:r>
      <w:r>
        <w:rPr>
          <w:sz w:val="16"/>
        </w:rPr>
        <w:t xml:space="preserve"> avec MA </w:t>
      </w:r>
      <w:r>
        <w:rPr>
          <w:sz w:val="16"/>
        </w:rPr>
        <w:t xml:space="preserve">par plusieurs donneurs d'ordre, tous </w:t>
      </w:r>
      <w:r>
        <w:rPr>
          <w:sz w:val="16"/>
        </w:rPr>
        <w:t xml:space="preserve">les donneurs d'ordre </w:t>
      </w:r>
      <w:r>
        <w:rPr>
          <w:sz w:val="16"/>
        </w:rPr>
        <w:t xml:space="preserve">sont </w:t>
      </w:r>
      <w:r>
        <w:rPr>
          <w:sz w:val="16"/>
        </w:rPr>
        <w:t xml:space="preserve">solidairement </w:t>
      </w:r>
      <w:r>
        <w:rPr>
          <w:sz w:val="16"/>
        </w:rPr>
        <w:t xml:space="preserve">tenus </w:t>
      </w:r>
      <w:r>
        <w:rPr>
          <w:sz w:val="16"/>
        </w:rPr>
        <w:t xml:space="preserve">(et </w:t>
      </w:r>
      <w:r>
        <w:rPr>
          <w:sz w:val="16"/>
        </w:rPr>
        <w:t xml:space="preserve">responsables </w:t>
      </w:r>
      <w:r>
        <w:rPr>
          <w:sz w:val="16"/>
        </w:rPr>
        <w:t xml:space="preserve">de </w:t>
      </w:r>
      <w:r>
        <w:rPr>
          <w:sz w:val="16"/>
        </w:rPr>
        <w:t xml:space="preserve">l'exécution) </w:t>
      </w:r>
      <w:r>
        <w:rPr>
          <w:sz w:val="16"/>
        </w:rPr>
        <w:t xml:space="preserve">des </w:t>
      </w:r>
      <w:r>
        <w:rPr>
          <w:sz w:val="16"/>
        </w:rPr>
        <w:t xml:space="preserve">obligations de paiement </w:t>
      </w:r>
      <w:r>
        <w:rPr>
          <w:sz w:val="16"/>
        </w:rPr>
        <w:t xml:space="preserve">envers </w:t>
      </w:r>
      <w:r>
        <w:rPr>
          <w:sz w:val="16"/>
        </w:rPr>
        <w:t xml:space="preserve">MA </w:t>
      </w:r>
      <w:r>
        <w:rPr>
          <w:sz w:val="16"/>
        </w:rPr>
        <w:t xml:space="preserve">découlant </w:t>
      </w:r>
      <w:r>
        <w:rPr>
          <w:sz w:val="16"/>
        </w:rPr>
        <w:t xml:space="preserve">de </w:t>
      </w:r>
      <w:r>
        <w:rPr>
          <w:sz w:val="16"/>
        </w:rPr>
        <w:t xml:space="preserve">cette </w:t>
      </w:r>
      <w:r>
        <w:rPr>
          <w:sz w:val="16"/>
        </w:rPr>
        <w:t>commande ou de ce contrat.</w:t>
      </w:r>
    </w:p>
    <w:p>
      <w:pPr>
        <w:pStyle w:val="Heading2"/>
        <w:spacing w:before="195"/>
      </w:pPr>
      <w:r>
        <w:rPr>
          <w:sz w:val="16"/>
        </w:rPr>
        <w:t>Article</w:t>
      </w:r>
      <w:r>
        <w:rPr>
          <w:sz w:val="16"/>
        </w:rPr>
        <w:t xml:space="preserve"> 4 </w:t>
      </w:r>
      <w:r>
        <w:rPr>
          <w:sz w:val="16"/>
        </w:rPr>
        <w:t xml:space="preserve">– </w:t>
      </w:r>
      <w:r>
        <w:rPr>
          <w:sz w:val="16"/>
        </w:rPr>
        <w:t xml:space="preserve">Responsabilité </w:t>
      </w:r>
      <w:r>
        <w:rPr>
          <w:sz w:val="16"/>
        </w:rPr>
        <w:t xml:space="preserve">et </w:t>
      </w:r>
      <w:r>
        <w:rPr>
          <w:spacing w:val="-2"/>
          <w:sz w:val="16"/>
        </w:rPr>
        <w:t>indemnisation</w:t>
      </w:r>
    </w:p>
    <w:p>
      <w:pPr>
        <w:pStyle w:val="ListParagraph"/>
        <w:numPr>
          <w:ilvl w:val="1"/>
          <w:numId w:val="3"/>
        </w:numPr>
        <w:tabs>
          <w:tab w:val="left" w:pos="367"/>
          <w:tab w:val="left" w:pos="369"/>
        </w:tabs>
        <w:spacing w:before="0" w:after="0" w:line="240" w:lineRule="auto"/>
        <w:ind w:left="369" w:right="40" w:hanging="284"/>
        <w:jc w:val="left"/>
        <w:rPr>
          <w:sz w:val="16"/>
        </w:rPr>
      </w:pPr>
      <w:r>
        <w:rPr>
          <w:sz w:val="16"/>
        </w:rPr>
        <w:t>Si,</w:t>
      </w:r>
      <w:r>
        <w:rPr>
          <w:sz w:val="16"/>
        </w:rPr>
        <w:t xml:space="preserve"> contre toute attente, lors de l'exécution d'une commande, </w:t>
      </w:r>
      <w:r>
        <w:rPr>
          <w:sz w:val="16"/>
        </w:rPr>
        <w:t>y compris en cas de non</w:t>
      </w:r>
      <w:r>
        <w:rPr>
          <w:sz w:val="16"/>
        </w:rPr>
        <w:t>-exécution</w:t>
      </w:r>
      <w:r>
        <w:rPr>
          <w:sz w:val="16"/>
        </w:rPr>
        <w:t xml:space="preserve">, </w:t>
      </w:r>
      <w:r>
        <w:rPr>
          <w:sz w:val="16"/>
        </w:rPr>
        <w:t>d'exécution</w:t>
      </w:r>
      <w:r>
        <w:rPr>
          <w:sz w:val="16"/>
        </w:rPr>
        <w:t xml:space="preserve"> tardive ou </w:t>
      </w:r>
      <w:r>
        <w:rPr>
          <w:sz w:val="16"/>
        </w:rPr>
        <w:t>d'exécution</w:t>
      </w:r>
      <w:r>
        <w:rPr>
          <w:sz w:val="16"/>
        </w:rPr>
        <w:t xml:space="preserve"> incomplète </w:t>
      </w:r>
      <w:r>
        <w:rPr>
          <w:sz w:val="16"/>
        </w:rPr>
        <w:t xml:space="preserve">de celle-ci, </w:t>
      </w:r>
      <w:r>
        <w:rPr>
          <w:sz w:val="16"/>
        </w:rPr>
        <w:t xml:space="preserve">survient </w:t>
      </w:r>
      <w:r>
        <w:rPr>
          <w:sz w:val="16"/>
        </w:rPr>
        <w:t xml:space="preserve">un </w:t>
      </w:r>
      <w:r>
        <w:rPr>
          <w:sz w:val="16"/>
        </w:rPr>
        <w:t xml:space="preserve">événement </w:t>
      </w:r>
      <w:r>
        <w:rPr>
          <w:sz w:val="16"/>
        </w:rPr>
        <w:t>entraînant</w:t>
      </w:r>
      <w:r>
        <w:rPr>
          <w:sz w:val="16"/>
        </w:rPr>
        <w:t xml:space="preserve"> </w:t>
      </w:r>
      <w:r>
        <w:rPr>
          <w:sz w:val="16"/>
        </w:rPr>
        <w:t xml:space="preserve">la responsabilité </w:t>
      </w:r>
      <w:r>
        <w:rPr>
          <w:sz w:val="16"/>
        </w:rPr>
        <w:t xml:space="preserve">de MA ou des </w:t>
      </w:r>
      <w:r>
        <w:rPr>
          <w:sz w:val="16"/>
        </w:rPr>
        <w:t xml:space="preserve">personnes </w:t>
      </w:r>
      <w:r>
        <w:rPr>
          <w:sz w:val="16"/>
        </w:rPr>
        <w:t>impliquées dans l'exécution de la commande</w:t>
      </w:r>
      <w:r>
        <w:rPr>
          <w:sz w:val="16"/>
        </w:rPr>
        <w:t xml:space="preserve">, </w:t>
      </w:r>
      <w:r>
        <w:rPr>
          <w:sz w:val="16"/>
        </w:rPr>
        <w:t xml:space="preserve">la </w:t>
      </w:r>
      <w:r>
        <w:rPr>
          <w:sz w:val="16"/>
        </w:rPr>
        <w:t xml:space="preserve">responsabilité </w:t>
      </w:r>
      <w:r>
        <w:rPr>
          <w:sz w:val="16"/>
        </w:rPr>
        <w:t xml:space="preserve">est </w:t>
      </w:r>
      <w:r>
        <w:rPr>
          <w:sz w:val="16"/>
        </w:rPr>
        <w:t xml:space="preserve">limitée </w:t>
      </w:r>
      <w:r>
        <w:rPr>
          <w:sz w:val="16"/>
        </w:rPr>
        <w:t xml:space="preserve">au </w:t>
      </w:r>
      <w:r>
        <w:rPr>
          <w:sz w:val="16"/>
        </w:rPr>
        <w:t xml:space="preserve">montant </w:t>
      </w:r>
      <w:r>
        <w:rPr>
          <w:sz w:val="16"/>
        </w:rPr>
        <w:t>couvert par l'assurance responsabilité civile professionnelle</w:t>
      </w:r>
      <w:r>
        <w:rPr>
          <w:sz w:val="16"/>
        </w:rPr>
        <w:t xml:space="preserve"> souscrite par MA</w:t>
      </w:r>
      <w:r>
        <w:rPr>
          <w:sz w:val="16"/>
        </w:rPr>
        <w:t xml:space="preserve">, </w:t>
      </w:r>
      <w:r>
        <w:rPr>
          <w:sz w:val="16"/>
        </w:rPr>
        <w:t xml:space="preserve">majoré de la franchise applicable en la matière. MA et les </w:t>
      </w:r>
      <w:r>
        <w:rPr>
          <w:sz w:val="16"/>
        </w:rPr>
        <w:t xml:space="preserve">personnes </w:t>
      </w:r>
      <w:r>
        <w:rPr>
          <w:sz w:val="16"/>
        </w:rPr>
        <w:t xml:space="preserve">impliquées </w:t>
      </w:r>
      <w:r>
        <w:rPr>
          <w:sz w:val="16"/>
        </w:rPr>
        <w:t xml:space="preserve">dans </w:t>
      </w:r>
      <w:r>
        <w:rPr>
          <w:sz w:val="16"/>
        </w:rPr>
        <w:t xml:space="preserve">l'exécution </w:t>
      </w:r>
      <w:r>
        <w:rPr>
          <w:sz w:val="16"/>
        </w:rPr>
        <w:t xml:space="preserve">de </w:t>
      </w:r>
      <w:r>
        <w:rPr>
          <w:sz w:val="16"/>
        </w:rPr>
        <w:t xml:space="preserve">la </w:t>
      </w:r>
      <w:r>
        <w:rPr>
          <w:sz w:val="16"/>
        </w:rPr>
        <w:t xml:space="preserve">mission </w:t>
      </w:r>
      <w:r>
        <w:rPr>
          <w:sz w:val="16"/>
        </w:rPr>
        <w:t xml:space="preserve">ne </w:t>
      </w:r>
      <w:r>
        <w:rPr>
          <w:sz w:val="16"/>
        </w:rPr>
        <w:t xml:space="preserve">sont </w:t>
      </w:r>
      <w:r>
        <w:rPr>
          <w:sz w:val="16"/>
        </w:rPr>
        <w:t xml:space="preserve">toutefois </w:t>
      </w:r>
      <w:r>
        <w:rPr>
          <w:sz w:val="16"/>
        </w:rPr>
        <w:t xml:space="preserve">pas </w:t>
      </w:r>
      <w:r>
        <w:rPr>
          <w:sz w:val="16"/>
        </w:rPr>
        <w:t>tenues de réparer un quelconque préjudice si</w:t>
      </w:r>
      <w:r>
        <w:rPr>
          <w:sz w:val="16"/>
        </w:rPr>
        <w:t>,</w:t>
      </w:r>
      <w:r>
        <w:rPr>
          <w:sz w:val="16"/>
        </w:rPr>
        <w:t xml:space="preserve"> au moment où </w:t>
      </w:r>
      <w:r>
        <w:rPr>
          <w:sz w:val="16"/>
        </w:rPr>
        <w:t>l'événement</w:t>
      </w:r>
      <w:r>
        <w:rPr>
          <w:sz w:val="16"/>
        </w:rPr>
        <w:t xml:space="preserve"> susmentionné </w:t>
      </w:r>
      <w:r>
        <w:rPr>
          <w:sz w:val="16"/>
        </w:rPr>
        <w:t xml:space="preserve">se produit, </w:t>
      </w:r>
      <w:r>
        <w:rPr>
          <w:sz w:val="16"/>
        </w:rPr>
        <w:t xml:space="preserve">le </w:t>
      </w:r>
      <w:r>
        <w:rPr>
          <w:sz w:val="16"/>
        </w:rPr>
        <w:t xml:space="preserve">donneur d'ordre </w:t>
      </w:r>
      <w:r>
        <w:rPr>
          <w:sz w:val="16"/>
        </w:rPr>
        <w:t xml:space="preserve">est en défaut d'exécution </w:t>
      </w:r>
      <w:r>
        <w:rPr>
          <w:sz w:val="16"/>
        </w:rPr>
        <w:t>d'une quelconque obligation à l'égard de MA.</w:t>
      </w:r>
    </w:p>
    <w:p>
      <w:pPr>
        <w:pStyle w:val="ListParagraph"/>
        <w:numPr>
          <w:ilvl w:val="1"/>
          <w:numId w:val="3"/>
        </w:numPr>
        <w:tabs>
          <w:tab w:val="left" w:pos="367"/>
          <w:tab w:val="left" w:pos="369"/>
        </w:tabs>
        <w:spacing w:before="0" w:after="0" w:line="240" w:lineRule="auto"/>
        <w:ind w:left="369" w:right="155" w:hanging="284"/>
        <w:jc w:val="left"/>
        <w:rPr>
          <w:sz w:val="16"/>
        </w:rPr>
      </w:pPr>
      <w:r>
        <w:rPr>
          <w:sz w:val="16"/>
        </w:rPr>
        <w:t xml:space="preserve">Si, pour quelque raison que ce soit, l'assureur susmentionné ne devait pas </w:t>
      </w:r>
      <w:r>
        <w:rPr>
          <w:sz w:val="16"/>
        </w:rPr>
        <w:t xml:space="preserve">procéder au versement d'une indemnité, la responsabilité de MA ou des </w:t>
      </w:r>
      <w:r>
        <w:rPr>
          <w:sz w:val="16"/>
        </w:rPr>
        <w:t xml:space="preserve">personnes </w:t>
      </w:r>
      <w:r>
        <w:rPr>
          <w:sz w:val="16"/>
        </w:rPr>
        <w:t xml:space="preserve">impliquées </w:t>
      </w:r>
      <w:r>
        <w:rPr>
          <w:sz w:val="16"/>
        </w:rPr>
        <w:t xml:space="preserve">dans </w:t>
      </w:r>
      <w:r>
        <w:rPr>
          <w:sz w:val="16"/>
        </w:rPr>
        <w:t xml:space="preserve">l'exécution </w:t>
      </w:r>
      <w:r>
        <w:rPr>
          <w:sz w:val="16"/>
        </w:rPr>
        <w:t xml:space="preserve">de </w:t>
      </w:r>
      <w:r>
        <w:rPr>
          <w:sz w:val="16"/>
        </w:rPr>
        <w:t xml:space="preserve">la </w:t>
      </w:r>
      <w:r>
        <w:rPr>
          <w:sz w:val="16"/>
        </w:rPr>
        <w:t xml:space="preserve">mission </w:t>
      </w:r>
      <w:r>
        <w:rPr>
          <w:sz w:val="16"/>
        </w:rPr>
        <w:t xml:space="preserve">pour </w:t>
      </w:r>
      <w:r>
        <w:rPr>
          <w:sz w:val="16"/>
        </w:rPr>
        <w:t xml:space="preserve">tous </w:t>
      </w:r>
      <w:r>
        <w:rPr>
          <w:sz w:val="16"/>
        </w:rPr>
        <w:t xml:space="preserve">les dommages </w:t>
      </w:r>
      <w:r>
        <w:rPr>
          <w:sz w:val="16"/>
        </w:rPr>
        <w:t xml:space="preserve">qui auraient pu survenir, y compris les dommages indirects, </w:t>
      </w:r>
      <w:r>
        <w:rPr>
          <w:sz w:val="16"/>
        </w:rPr>
        <w:t xml:space="preserve">est </w:t>
      </w:r>
      <w:r>
        <w:rPr>
          <w:sz w:val="16"/>
        </w:rPr>
        <w:t>expressément</w:t>
      </w:r>
    </w:p>
    <w:p>
      <w:pPr>
        <w:pStyle w:val="BodyText"/>
        <w:spacing w:before="1"/>
        <w:ind w:right="53" w:firstLine="0"/>
        <w:jc w:val="both"/>
      </w:pPr>
      <w:r>
        <w:rPr>
          <w:sz w:val="16"/>
        </w:rPr>
        <w:t xml:space="preserve">, </w:t>
      </w:r>
      <w:r>
        <w:rPr>
          <w:sz w:val="16"/>
        </w:rPr>
        <w:t xml:space="preserve">est </w:t>
      </w:r>
      <w:r>
        <w:rPr>
          <w:sz w:val="16"/>
        </w:rPr>
        <w:t xml:space="preserve">expressément </w:t>
      </w:r>
      <w:r>
        <w:rPr>
          <w:sz w:val="16"/>
        </w:rPr>
        <w:t xml:space="preserve">limitée </w:t>
      </w:r>
      <w:r>
        <w:rPr>
          <w:sz w:val="16"/>
        </w:rPr>
        <w:t xml:space="preserve">à </w:t>
      </w:r>
      <w:r>
        <w:rPr>
          <w:sz w:val="16"/>
        </w:rPr>
        <w:t xml:space="preserve">un montant maximal </w:t>
      </w:r>
      <w:r>
        <w:rPr>
          <w:sz w:val="16"/>
        </w:rPr>
        <w:t xml:space="preserve">de 15 000 €, </w:t>
      </w:r>
      <w:r>
        <w:rPr>
          <w:sz w:val="16"/>
        </w:rPr>
        <w:t xml:space="preserve">ou, </w:t>
      </w:r>
      <w:r>
        <w:rPr>
          <w:sz w:val="16"/>
        </w:rPr>
        <w:t xml:space="preserve">si </w:t>
      </w:r>
      <w:r>
        <w:rPr>
          <w:sz w:val="16"/>
        </w:rPr>
        <w:t xml:space="preserve">les </w:t>
      </w:r>
      <w:r>
        <w:rPr>
          <w:sz w:val="16"/>
        </w:rPr>
        <w:t xml:space="preserve">honoraires </w:t>
      </w:r>
      <w:r>
        <w:rPr>
          <w:sz w:val="16"/>
        </w:rPr>
        <w:t xml:space="preserve">facturés par MA au donneur d'ordre </w:t>
      </w:r>
      <w:r>
        <w:rPr>
          <w:sz w:val="16"/>
        </w:rPr>
        <w:t xml:space="preserve">pour </w:t>
      </w:r>
      <w:r>
        <w:rPr>
          <w:sz w:val="16"/>
        </w:rPr>
        <w:t xml:space="preserve">les </w:t>
      </w:r>
      <w:r>
        <w:rPr>
          <w:sz w:val="16"/>
        </w:rPr>
        <w:t xml:space="preserve">travaux </w:t>
      </w:r>
      <w:r>
        <w:rPr>
          <w:sz w:val="16"/>
        </w:rPr>
        <w:t xml:space="preserve">à </w:t>
      </w:r>
      <w:r>
        <w:rPr>
          <w:sz w:val="16"/>
        </w:rPr>
        <w:t>l'origine du dommage</w:t>
      </w:r>
    </w:p>
    <w:p>
      <w:pPr>
        <w:pStyle w:val="BodyText"/>
        <w:ind w:right="288" w:firstLine="0"/>
        <w:jc w:val="both"/>
      </w:pPr>
      <w:r>
        <w:rPr>
          <w:sz w:val="16"/>
        </w:rPr>
        <w:t xml:space="preserve">est </w:t>
      </w:r>
      <w:r>
        <w:rPr>
          <w:sz w:val="16"/>
        </w:rPr>
        <w:t xml:space="preserve">supérieure </w:t>
      </w:r>
      <w:r>
        <w:rPr>
          <w:sz w:val="16"/>
        </w:rPr>
        <w:t>à</w:t>
      </w:r>
      <w:r>
        <w:rPr>
          <w:sz w:val="16"/>
        </w:rPr>
        <w:t xml:space="preserve"> 15 000 </w:t>
      </w:r>
      <w:r>
        <w:rPr>
          <w:sz w:val="16"/>
        </w:rPr>
        <w:t>€</w:t>
      </w:r>
      <w:r>
        <w:rPr>
          <w:sz w:val="16"/>
        </w:rPr>
        <w:t xml:space="preserve">, </w:t>
      </w:r>
      <w:r>
        <w:rPr>
          <w:sz w:val="16"/>
        </w:rPr>
        <w:t xml:space="preserve">à </w:t>
      </w:r>
      <w:r>
        <w:rPr>
          <w:sz w:val="16"/>
        </w:rPr>
        <w:t xml:space="preserve">un </w:t>
      </w:r>
      <w:r>
        <w:rPr>
          <w:sz w:val="16"/>
        </w:rPr>
        <w:t xml:space="preserve">maximum </w:t>
      </w:r>
      <w:r>
        <w:rPr>
          <w:sz w:val="16"/>
        </w:rPr>
        <w:t>de</w:t>
      </w:r>
      <w:r>
        <w:rPr>
          <w:spacing w:val="-2"/>
          <w:sz w:val="16"/>
        </w:rPr>
        <w:t xml:space="preserve"> 200 000 €.</w:t>
      </w:r>
    </w:p>
    <w:p>
      <w:pPr>
        <w:pStyle w:val="ListParagraph"/>
        <w:numPr>
          <w:ilvl w:val="1"/>
          <w:numId w:val="3"/>
        </w:numPr>
        <w:tabs>
          <w:tab w:val="left" w:pos="367"/>
          <w:tab w:val="left" w:pos="369"/>
        </w:tabs>
        <w:spacing w:before="58" w:after="0" w:line="240" w:lineRule="auto"/>
        <w:ind w:left="369" w:right="138" w:hanging="284"/>
        <w:jc w:val="left"/>
        <w:rPr>
          <w:sz w:val="16"/>
        </w:rPr>
      </w:pPr>
      <w:r>
        <w:rPr>
          <w:sz w:val="23"/>
        </w:rPr>
        <w:br w:type="column"/>
      </w:r>
      <w:r>
        <w:rPr>
          <w:sz w:val="16"/>
        </w:rPr>
        <w:t xml:space="preserve">Toute mission confiée à MA implique le pouvoir de </w:t>
      </w:r>
      <w:r>
        <w:rPr>
          <w:sz w:val="16"/>
        </w:rPr>
        <w:t xml:space="preserve">faire appel à des tiers et </w:t>
      </w:r>
      <w:r>
        <w:rPr>
          <w:sz w:val="16"/>
        </w:rPr>
        <w:t xml:space="preserve">d'accepter, </w:t>
      </w:r>
      <w:r>
        <w:rPr>
          <w:sz w:val="16"/>
        </w:rPr>
        <w:t xml:space="preserve">également </w:t>
      </w:r>
      <w:r>
        <w:rPr>
          <w:sz w:val="16"/>
        </w:rPr>
        <w:t xml:space="preserve">au nom </w:t>
      </w:r>
      <w:r>
        <w:rPr>
          <w:sz w:val="16"/>
        </w:rPr>
        <w:t xml:space="preserve">du </w:t>
      </w:r>
      <w:r>
        <w:rPr>
          <w:sz w:val="16"/>
        </w:rPr>
        <w:t>donneur d'ordre</w:t>
      </w:r>
      <w:r>
        <w:rPr>
          <w:sz w:val="16"/>
        </w:rPr>
        <w:t xml:space="preserve">, </w:t>
      </w:r>
      <w:r>
        <w:rPr>
          <w:sz w:val="16"/>
        </w:rPr>
        <w:t xml:space="preserve">les </w:t>
      </w:r>
      <w:r>
        <w:rPr>
          <w:sz w:val="16"/>
        </w:rPr>
        <w:t xml:space="preserve">éventuelles </w:t>
      </w:r>
      <w:r>
        <w:rPr>
          <w:sz w:val="16"/>
        </w:rPr>
        <w:t xml:space="preserve">limitations </w:t>
      </w:r>
      <w:r>
        <w:rPr>
          <w:sz w:val="16"/>
        </w:rPr>
        <w:t>de</w:t>
      </w:r>
      <w:r>
        <w:rPr>
          <w:sz w:val="16"/>
        </w:rPr>
        <w:t xml:space="preserve"> responsabilité </w:t>
      </w:r>
      <w:r>
        <w:rPr>
          <w:sz w:val="16"/>
        </w:rPr>
        <w:t>des auxiliaires</w:t>
      </w:r>
      <w:r>
        <w:rPr>
          <w:sz w:val="16"/>
        </w:rPr>
        <w:t xml:space="preserve">. </w:t>
      </w:r>
      <w:r>
        <w:rPr>
          <w:sz w:val="16"/>
        </w:rPr>
        <w:t xml:space="preserve">L'applicabilité </w:t>
      </w:r>
      <w:r>
        <w:rPr>
          <w:sz w:val="16"/>
        </w:rPr>
        <w:t xml:space="preserve">de </w:t>
      </w:r>
      <w:r>
        <w:rPr>
          <w:sz w:val="16"/>
        </w:rPr>
        <w:t>l'article</w:t>
      </w:r>
      <w:r>
        <w:rPr>
          <w:sz w:val="16"/>
        </w:rPr>
        <w:t xml:space="preserve"> 6:76 du Code civil néerlandais est exclue.</w:t>
      </w:r>
    </w:p>
    <w:p>
      <w:pPr>
        <w:pStyle w:val="ListParagraph"/>
        <w:numPr>
          <w:ilvl w:val="1"/>
          <w:numId w:val="3"/>
        </w:numPr>
        <w:tabs>
          <w:tab w:val="left" w:pos="367"/>
          <w:tab w:val="left" w:pos="369"/>
        </w:tabs>
        <w:spacing w:before="0" w:after="0" w:line="240" w:lineRule="auto"/>
        <w:ind w:left="369" w:right="146" w:hanging="284"/>
        <w:jc w:val="left"/>
        <w:rPr>
          <w:sz w:val="16"/>
        </w:rPr>
      </w:pPr>
      <w:r>
        <w:rPr>
          <w:sz w:val="16"/>
        </w:rPr>
        <w:t xml:space="preserve">Si </w:t>
      </w:r>
      <w:r>
        <w:rPr>
          <w:sz w:val="16"/>
        </w:rPr>
        <w:t xml:space="preserve">et </w:t>
      </w:r>
      <w:r>
        <w:rPr>
          <w:sz w:val="16"/>
        </w:rPr>
        <w:t xml:space="preserve">dans la mesure où MA agit </w:t>
      </w:r>
      <w:r>
        <w:rPr>
          <w:sz w:val="16"/>
        </w:rPr>
        <w:t xml:space="preserve">en tant qu'avocat plaidant, </w:t>
      </w:r>
      <w:r>
        <w:rPr>
          <w:sz w:val="16"/>
        </w:rPr>
        <w:t xml:space="preserve">le client </w:t>
      </w:r>
      <w:r>
        <w:rPr>
          <w:sz w:val="16"/>
        </w:rPr>
        <w:t xml:space="preserve">garantit </w:t>
      </w:r>
      <w:r>
        <w:rPr>
          <w:sz w:val="16"/>
        </w:rPr>
        <w:t xml:space="preserve">MA contre toute responsabilité découlant de </w:t>
      </w:r>
      <w:r>
        <w:rPr>
          <w:sz w:val="16"/>
        </w:rPr>
        <w:t xml:space="preserve">fautes professionnelles liées au </w:t>
      </w:r>
      <w:r>
        <w:rPr>
          <w:sz w:val="16"/>
        </w:rPr>
        <w:t>traitement</w:t>
      </w:r>
      <w:r>
        <w:rPr>
          <w:sz w:val="16"/>
        </w:rPr>
        <w:t xml:space="preserve"> du fond </w:t>
      </w:r>
      <w:r>
        <w:rPr>
          <w:sz w:val="16"/>
        </w:rPr>
        <w:t xml:space="preserve">de </w:t>
      </w:r>
      <w:r>
        <w:rPr>
          <w:sz w:val="16"/>
        </w:rPr>
        <w:t xml:space="preserve">l'affaire, </w:t>
      </w:r>
      <w:r>
        <w:rPr>
          <w:sz w:val="16"/>
        </w:rPr>
        <w:t xml:space="preserve">au </w:t>
      </w:r>
      <w:r>
        <w:rPr>
          <w:sz w:val="16"/>
        </w:rPr>
        <w:t xml:space="preserve">contenu </w:t>
      </w:r>
      <w:r>
        <w:rPr>
          <w:sz w:val="16"/>
        </w:rPr>
        <w:t xml:space="preserve">des </w:t>
      </w:r>
      <w:r>
        <w:rPr>
          <w:sz w:val="16"/>
        </w:rPr>
        <w:t xml:space="preserve">pièces de procédure </w:t>
      </w:r>
      <w:r>
        <w:rPr>
          <w:sz w:val="16"/>
        </w:rPr>
        <w:t xml:space="preserve">et/ou </w:t>
      </w:r>
      <w:r>
        <w:rPr>
          <w:sz w:val="16"/>
        </w:rPr>
        <w:t>à la remise tardive des pièces de procédure à déposer.</w:t>
      </w:r>
    </w:p>
    <w:p>
      <w:pPr>
        <w:pStyle w:val="ListParagraph"/>
        <w:numPr>
          <w:ilvl w:val="1"/>
          <w:numId w:val="3"/>
        </w:numPr>
        <w:tabs>
          <w:tab w:val="left" w:pos="367"/>
          <w:tab w:val="left" w:pos="369"/>
        </w:tabs>
        <w:spacing w:before="0" w:after="0" w:line="240" w:lineRule="auto"/>
        <w:ind w:left="369" w:right="24" w:hanging="284"/>
        <w:jc w:val="left"/>
        <w:rPr>
          <w:sz w:val="16"/>
        </w:rPr>
      </w:pPr>
      <w:r>
        <w:rPr>
          <w:sz w:val="16"/>
        </w:rPr>
        <w:t xml:space="preserve">Sans préjudice des dispositions de l'article 6:89 du Code civil néerlandais, toute </w:t>
      </w:r>
      <w:r>
        <w:rPr>
          <w:sz w:val="16"/>
        </w:rPr>
        <w:t xml:space="preserve">demande </w:t>
      </w:r>
      <w:r>
        <w:rPr>
          <w:sz w:val="16"/>
        </w:rPr>
        <w:t xml:space="preserve">d'indemnisation </w:t>
      </w:r>
      <w:r>
        <w:rPr>
          <w:sz w:val="16"/>
        </w:rPr>
        <w:t xml:space="preserve">doit </w:t>
      </w:r>
      <w:r>
        <w:rPr>
          <w:sz w:val="16"/>
        </w:rPr>
        <w:t xml:space="preserve">être introduite </w:t>
      </w:r>
      <w:r>
        <w:rPr>
          <w:sz w:val="16"/>
        </w:rPr>
        <w:t xml:space="preserve">par écrit auprès de MA </w:t>
      </w:r>
      <w:r>
        <w:rPr>
          <w:sz w:val="16"/>
        </w:rPr>
        <w:t xml:space="preserve">au plus tard </w:t>
      </w:r>
      <w:r>
        <w:rPr>
          <w:sz w:val="16"/>
        </w:rPr>
        <w:t xml:space="preserve">douze </w:t>
      </w:r>
      <w:r>
        <w:rPr>
          <w:sz w:val="16"/>
        </w:rPr>
        <w:t xml:space="preserve">(12) </w:t>
      </w:r>
      <w:r>
        <w:rPr>
          <w:sz w:val="16"/>
        </w:rPr>
        <w:t xml:space="preserve">mois </w:t>
      </w:r>
      <w:r>
        <w:rPr>
          <w:sz w:val="16"/>
        </w:rPr>
        <w:t>après que le client a constaté le préjudice</w:t>
      </w:r>
      <w:r>
        <w:rPr>
          <w:sz w:val="16"/>
        </w:rPr>
        <w:t xml:space="preserve">, faute de quoi le droit à </w:t>
      </w:r>
      <w:r>
        <w:rPr>
          <w:sz w:val="16"/>
        </w:rPr>
        <w:t>indemnisation s'éteint.</w:t>
      </w:r>
    </w:p>
    <w:p>
      <w:pPr>
        <w:pStyle w:val="BodyText"/>
        <w:spacing w:before="2"/>
        <w:ind w:left="0" w:firstLine="0"/>
      </w:pPr>
    </w:p>
    <w:p>
      <w:pPr>
        <w:pStyle w:val="Heading2"/>
      </w:pPr>
      <w:r>
        <w:rPr>
          <w:sz w:val="16"/>
        </w:rPr>
        <w:t>Article</w:t>
      </w:r>
      <w:r>
        <w:rPr>
          <w:sz w:val="16"/>
        </w:rPr>
        <w:t xml:space="preserve"> 5 </w:t>
      </w:r>
      <w:r>
        <w:rPr>
          <w:sz w:val="16"/>
        </w:rPr>
        <w:t xml:space="preserve">– </w:t>
      </w:r>
      <w:r>
        <w:rPr>
          <w:sz w:val="16"/>
        </w:rPr>
        <w:t xml:space="preserve">Honoraires </w:t>
      </w:r>
      <w:r>
        <w:rPr>
          <w:sz w:val="16"/>
        </w:rPr>
        <w:t xml:space="preserve">et </w:t>
      </w:r>
      <w:r>
        <w:rPr>
          <w:spacing w:val="-2"/>
          <w:sz w:val="16"/>
        </w:rPr>
        <w:t>paiements</w:t>
      </w:r>
    </w:p>
    <w:p>
      <w:pPr>
        <w:pStyle w:val="ListParagraph"/>
        <w:numPr>
          <w:ilvl w:val="1"/>
          <w:numId w:val="2"/>
        </w:numPr>
        <w:tabs>
          <w:tab w:val="left" w:pos="367"/>
          <w:tab w:val="left" w:pos="369"/>
        </w:tabs>
        <w:spacing w:before="0" w:after="0" w:line="240" w:lineRule="auto"/>
        <w:ind w:left="369" w:right="33" w:hanging="284"/>
        <w:jc w:val="left"/>
        <w:rPr>
          <w:sz w:val="16"/>
        </w:rPr>
      </w:pPr>
      <w:r>
        <w:rPr>
          <w:sz w:val="16"/>
        </w:rPr>
        <w:t xml:space="preserve">La facturation des travaux s'effectue conformément </w:t>
      </w:r>
      <w:r>
        <w:rPr>
          <w:sz w:val="16"/>
        </w:rPr>
        <w:t xml:space="preserve">au tarif horaire des personnes impliquées dans l'exécution, tel </w:t>
      </w:r>
      <w:r>
        <w:rPr>
          <w:sz w:val="16"/>
        </w:rPr>
        <w:t xml:space="preserve">qu'il est en vigueur chez MA au moment de l'exécution des </w:t>
      </w:r>
      <w:r>
        <w:rPr>
          <w:sz w:val="16"/>
        </w:rPr>
        <w:t xml:space="preserve">travaux, sauf </w:t>
      </w:r>
      <w:r>
        <w:rPr>
          <w:sz w:val="16"/>
        </w:rPr>
        <w:t>convention</w:t>
      </w:r>
      <w:r>
        <w:rPr>
          <w:sz w:val="16"/>
        </w:rPr>
        <w:t xml:space="preserve"> contraire expresse et écrite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 xml:space="preserve">Le </w:t>
      </w:r>
      <w:r>
        <w:rPr>
          <w:sz w:val="16"/>
        </w:rPr>
        <w:t xml:space="preserve">tarif </w:t>
      </w:r>
      <w:r>
        <w:rPr>
          <w:sz w:val="16"/>
        </w:rPr>
        <w:t xml:space="preserve">horaire peut </w:t>
      </w:r>
      <w:r>
        <w:rPr>
          <w:sz w:val="16"/>
        </w:rPr>
        <w:t xml:space="preserve">être </w:t>
      </w:r>
      <w:r>
        <w:rPr>
          <w:sz w:val="16"/>
        </w:rPr>
        <w:t xml:space="preserve">multiplié </w:t>
      </w:r>
      <w:r>
        <w:rPr>
          <w:sz w:val="16"/>
        </w:rPr>
        <w:t xml:space="preserve">par </w:t>
      </w:r>
      <w:r>
        <w:rPr>
          <w:sz w:val="16"/>
        </w:rPr>
        <w:t xml:space="preserve">un coefficient qui dépend de l'expérience et </w:t>
      </w:r>
      <w:r>
        <w:rPr>
          <w:sz w:val="16"/>
        </w:rPr>
        <w:t>de</w:t>
      </w:r>
      <w:r>
        <w:rPr>
          <w:sz w:val="16"/>
        </w:rPr>
        <w:t xml:space="preserve"> la spécialisation </w:t>
      </w:r>
      <w:r>
        <w:rPr>
          <w:sz w:val="16"/>
        </w:rPr>
        <w:t xml:space="preserve">de la ou des personnes qui exécutent effectivement la mission, de </w:t>
      </w:r>
      <w:r>
        <w:rPr>
          <w:sz w:val="16"/>
        </w:rPr>
        <w:t xml:space="preserve">l'importance financière et du degré d'urgence </w:t>
      </w:r>
      <w:r>
        <w:rPr>
          <w:sz w:val="16"/>
        </w:rPr>
        <w:t>liés</w:t>
      </w:r>
      <w:r>
        <w:rPr>
          <w:sz w:val="16"/>
        </w:rPr>
        <w:t xml:space="preserve"> à la </w:t>
      </w:r>
      <w:r>
        <w:rPr>
          <w:sz w:val="16"/>
        </w:rPr>
        <w:t>mission.</w:t>
      </w:r>
    </w:p>
    <w:p>
      <w:pPr>
        <w:pStyle w:val="ListParagraph"/>
        <w:numPr>
          <w:ilvl w:val="1"/>
          <w:numId w:val="2"/>
        </w:numPr>
        <w:tabs>
          <w:tab w:val="left" w:pos="367"/>
          <w:tab w:val="left" w:pos="369"/>
        </w:tabs>
        <w:spacing w:before="0" w:after="0" w:line="240" w:lineRule="auto"/>
        <w:ind w:left="369" w:right="199" w:hanging="284"/>
        <w:jc w:val="left"/>
        <w:rPr>
          <w:sz w:val="16"/>
        </w:rPr>
      </w:pPr>
      <w:r>
        <w:rPr>
          <w:sz w:val="16"/>
        </w:rPr>
        <w:t xml:space="preserve">Sauf </w:t>
      </w:r>
      <w:r>
        <w:rPr>
          <w:sz w:val="16"/>
        </w:rPr>
        <w:t xml:space="preserve">convention </w:t>
      </w:r>
      <w:r>
        <w:rPr>
          <w:sz w:val="16"/>
        </w:rPr>
        <w:t xml:space="preserve">écrite </w:t>
      </w:r>
      <w:r>
        <w:rPr>
          <w:sz w:val="16"/>
        </w:rPr>
        <w:t xml:space="preserve">contraire </w:t>
      </w:r>
      <w:r>
        <w:rPr>
          <w:sz w:val="16"/>
        </w:rPr>
        <w:t>expresse</w:t>
      </w:r>
      <w:r>
        <w:rPr>
          <w:sz w:val="16"/>
        </w:rPr>
        <w:t>,</w:t>
      </w:r>
      <w:r>
        <w:rPr>
          <w:sz w:val="16"/>
        </w:rPr>
        <w:t xml:space="preserve"> les tarifs convenus s'appliquent </w:t>
      </w:r>
      <w:r>
        <w:rPr>
          <w:sz w:val="16"/>
        </w:rPr>
        <w:t xml:space="preserve">pour </w:t>
      </w:r>
      <w:r>
        <w:rPr>
          <w:sz w:val="16"/>
        </w:rPr>
        <w:t xml:space="preserve">la </w:t>
      </w:r>
      <w:r>
        <w:rPr>
          <w:sz w:val="16"/>
        </w:rPr>
        <w:t xml:space="preserve">durée </w:t>
      </w:r>
      <w:r>
        <w:rPr>
          <w:sz w:val="16"/>
        </w:rPr>
        <w:t xml:space="preserve">de </w:t>
      </w:r>
      <w:r>
        <w:rPr>
          <w:sz w:val="16"/>
        </w:rPr>
        <w:t xml:space="preserve">l'année civile au cours de laquelle ils ont été convenus et peuvent </w:t>
      </w:r>
      <w:r>
        <w:rPr>
          <w:sz w:val="16"/>
        </w:rPr>
        <w:t>être ajustés en cours d'année.</w:t>
      </w:r>
    </w:p>
    <w:p>
      <w:pPr>
        <w:pStyle w:val="ListParagraph"/>
        <w:numPr>
          <w:ilvl w:val="1"/>
          <w:numId w:val="2"/>
        </w:numPr>
        <w:tabs>
          <w:tab w:val="left" w:pos="367"/>
          <w:tab w:val="left" w:pos="369"/>
        </w:tabs>
        <w:spacing w:before="0" w:after="0" w:line="240" w:lineRule="auto"/>
        <w:ind w:left="369" w:right="31" w:hanging="284"/>
        <w:jc w:val="left"/>
        <w:rPr>
          <w:sz w:val="16"/>
        </w:rPr>
      </w:pPr>
      <w:r>
        <w:rPr>
          <w:sz w:val="16"/>
        </w:rPr>
        <w:t>MA est en droit</w:t>
      </w:r>
      <w:r>
        <w:rPr>
          <w:sz w:val="16"/>
        </w:rPr>
        <w:t>,</w:t>
      </w:r>
      <w:r>
        <w:rPr>
          <w:sz w:val="16"/>
        </w:rPr>
        <w:t xml:space="preserve"> sans que le donneur d'ordre </w:t>
      </w:r>
      <w:r>
        <w:rPr>
          <w:sz w:val="16"/>
        </w:rPr>
        <w:t xml:space="preserve">ne dispose </w:t>
      </w:r>
      <w:r>
        <w:rPr>
          <w:sz w:val="16"/>
        </w:rPr>
        <w:t xml:space="preserve">pour autant </w:t>
      </w:r>
      <w:r>
        <w:rPr>
          <w:sz w:val="16"/>
        </w:rPr>
        <w:t>d'</w:t>
      </w:r>
      <w:r>
        <w:rPr>
          <w:sz w:val="16"/>
        </w:rPr>
        <w:t xml:space="preserve">un quelconque droit de </w:t>
      </w:r>
      <w:r>
        <w:rPr>
          <w:sz w:val="16"/>
        </w:rPr>
        <w:t>modification ou de résiliation du contrat</w:t>
      </w:r>
      <w:r>
        <w:rPr>
          <w:sz w:val="16"/>
        </w:rPr>
        <w:t xml:space="preserve">, </w:t>
      </w:r>
      <w:r>
        <w:rPr>
          <w:sz w:val="16"/>
        </w:rPr>
        <w:t xml:space="preserve">d'ajuster </w:t>
      </w:r>
      <w:r>
        <w:rPr>
          <w:sz w:val="16"/>
        </w:rPr>
        <w:t xml:space="preserve">chaque année civile </w:t>
      </w:r>
      <w:r>
        <w:rPr>
          <w:sz w:val="16"/>
        </w:rPr>
        <w:t xml:space="preserve">ses </w:t>
      </w:r>
      <w:r>
        <w:rPr>
          <w:sz w:val="16"/>
        </w:rPr>
        <w:t xml:space="preserve">tarifs </w:t>
      </w:r>
      <w:r>
        <w:rPr>
          <w:sz w:val="16"/>
        </w:rPr>
        <w:t>en pourcentage</w:t>
      </w:r>
      <w:r>
        <w:rPr>
          <w:sz w:val="16"/>
        </w:rPr>
        <w:t xml:space="preserve">, </w:t>
      </w:r>
      <w:r>
        <w:rPr>
          <w:sz w:val="16"/>
        </w:rPr>
        <w:t xml:space="preserve">sur </w:t>
      </w:r>
      <w:r>
        <w:rPr>
          <w:sz w:val="16"/>
        </w:rPr>
        <w:t xml:space="preserve">la base </w:t>
      </w:r>
      <w:r>
        <w:rPr>
          <w:sz w:val="16"/>
        </w:rPr>
        <w:t xml:space="preserve">de </w:t>
      </w:r>
      <w:r>
        <w:rPr>
          <w:sz w:val="16"/>
        </w:rPr>
        <w:t xml:space="preserve">l'indexation, </w:t>
      </w:r>
      <w:r>
        <w:rPr>
          <w:sz w:val="16"/>
        </w:rPr>
        <w:t>en se référant à l'indice des prix du CBS.</w:t>
      </w:r>
    </w:p>
    <w:p>
      <w:pPr>
        <w:pStyle w:val="ListParagraph"/>
        <w:numPr>
          <w:ilvl w:val="1"/>
          <w:numId w:val="2"/>
        </w:numPr>
        <w:tabs>
          <w:tab w:val="left" w:pos="367"/>
          <w:tab w:val="left" w:pos="369"/>
        </w:tabs>
        <w:spacing w:before="1" w:after="0" w:line="240" w:lineRule="auto"/>
        <w:ind w:left="369" w:right="85" w:hanging="284"/>
        <w:jc w:val="left"/>
        <w:rPr>
          <w:sz w:val="16"/>
        </w:rPr>
      </w:pPr>
      <w:r>
        <w:rPr>
          <w:sz w:val="16"/>
        </w:rPr>
        <w:t xml:space="preserve">Si </w:t>
      </w:r>
      <w:r>
        <w:rPr>
          <w:sz w:val="16"/>
        </w:rPr>
        <w:t xml:space="preserve">la </w:t>
      </w:r>
      <w:r>
        <w:rPr>
          <w:sz w:val="16"/>
        </w:rPr>
        <w:t xml:space="preserve">rémunération </w:t>
      </w:r>
      <w:r>
        <w:rPr>
          <w:sz w:val="16"/>
        </w:rPr>
        <w:t xml:space="preserve">due </w:t>
      </w:r>
      <w:r>
        <w:rPr>
          <w:sz w:val="16"/>
        </w:rPr>
        <w:t xml:space="preserve">à </w:t>
      </w:r>
      <w:r>
        <w:rPr>
          <w:sz w:val="16"/>
        </w:rPr>
        <w:t xml:space="preserve">MA </w:t>
      </w:r>
      <w:r>
        <w:rPr>
          <w:sz w:val="16"/>
        </w:rPr>
        <w:t xml:space="preserve">est </w:t>
      </w:r>
      <w:r>
        <w:rPr>
          <w:sz w:val="16"/>
        </w:rPr>
        <w:t xml:space="preserve">calculée </w:t>
      </w:r>
      <w:r>
        <w:rPr>
          <w:sz w:val="16"/>
        </w:rPr>
        <w:t>au prorata du temps</w:t>
      </w:r>
      <w:r>
        <w:rPr>
          <w:sz w:val="16"/>
        </w:rPr>
        <w:t xml:space="preserve">, la feuille de temps de MA fait foi, sauf </w:t>
      </w:r>
      <w:r>
        <w:rPr>
          <w:sz w:val="16"/>
        </w:rPr>
        <w:t>preuve contraire apportée par le client.</w:t>
      </w:r>
    </w:p>
    <w:p>
      <w:pPr>
        <w:pStyle w:val="ListParagraph"/>
        <w:numPr>
          <w:ilvl w:val="1"/>
          <w:numId w:val="2"/>
        </w:numPr>
        <w:tabs>
          <w:tab w:val="left" w:pos="367"/>
          <w:tab w:val="left" w:pos="369"/>
        </w:tabs>
        <w:spacing w:before="0" w:after="0" w:line="240" w:lineRule="auto"/>
        <w:ind w:left="369" w:right="97" w:hanging="284"/>
        <w:jc w:val="left"/>
        <w:rPr>
          <w:sz w:val="16"/>
        </w:rPr>
      </w:pPr>
      <w:r>
        <w:rPr>
          <w:sz w:val="16"/>
        </w:rPr>
        <w:t xml:space="preserve">MA </w:t>
      </w:r>
      <w:r>
        <w:rPr>
          <w:sz w:val="16"/>
        </w:rPr>
        <w:t>refacturera</w:t>
      </w:r>
      <w:r>
        <w:rPr>
          <w:sz w:val="16"/>
        </w:rPr>
        <w:t xml:space="preserve"> au </w:t>
      </w:r>
      <w:r>
        <w:rPr>
          <w:sz w:val="16"/>
        </w:rPr>
        <w:t>client</w:t>
      </w:r>
      <w:r>
        <w:rPr>
          <w:sz w:val="16"/>
        </w:rPr>
        <w:t xml:space="preserve"> les frais qui ne sont pas inclus dans ses tarifs</w:t>
      </w:r>
      <w:r>
        <w:rPr>
          <w:sz w:val="16"/>
        </w:rPr>
        <w:t xml:space="preserve">, tels que (mais sans s'y limiter) </w:t>
      </w:r>
      <w:r>
        <w:rPr>
          <w:sz w:val="16"/>
        </w:rPr>
        <w:t xml:space="preserve">les frais de déplacement, les frais de greffe, les frais de messagerie, les frais de traduction et, de manière </w:t>
      </w:r>
      <w:r>
        <w:rPr>
          <w:sz w:val="16"/>
        </w:rPr>
        <w:t xml:space="preserve">générale, </w:t>
      </w:r>
      <w:r>
        <w:rPr>
          <w:sz w:val="16"/>
        </w:rPr>
        <w:t xml:space="preserve">les </w:t>
      </w:r>
      <w:r>
        <w:rPr>
          <w:sz w:val="16"/>
        </w:rPr>
        <w:t xml:space="preserve">frais </w:t>
      </w:r>
      <w:r>
        <w:rPr>
          <w:sz w:val="16"/>
        </w:rPr>
        <w:t xml:space="preserve">liés </w:t>
      </w:r>
      <w:r>
        <w:rPr>
          <w:sz w:val="16"/>
        </w:rPr>
        <w:t xml:space="preserve">aux tiers </w:t>
      </w:r>
      <w:r>
        <w:rPr>
          <w:sz w:val="16"/>
        </w:rPr>
        <w:t>auxquels elle fait appel</w:t>
      </w:r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MA </w:t>
      </w:r>
      <w:r>
        <w:rPr>
          <w:sz w:val="16"/>
        </w:rPr>
        <w:t xml:space="preserve">est </w:t>
      </w:r>
      <w:r>
        <w:rPr>
          <w:sz w:val="16"/>
        </w:rPr>
        <w:t xml:space="preserve">en droit </w:t>
      </w:r>
      <w:r>
        <w:rPr>
          <w:sz w:val="16"/>
        </w:rPr>
        <w:t xml:space="preserve">de </w:t>
      </w:r>
      <w:r>
        <w:rPr>
          <w:sz w:val="16"/>
        </w:rPr>
        <w:t xml:space="preserve">facturer </w:t>
      </w:r>
      <w:r>
        <w:rPr>
          <w:sz w:val="16"/>
        </w:rPr>
        <w:t xml:space="preserve">une </w:t>
      </w:r>
      <w:r>
        <w:rPr>
          <w:sz w:val="16"/>
        </w:rPr>
        <w:t xml:space="preserve">avance </w:t>
      </w:r>
      <w:r>
        <w:rPr>
          <w:sz w:val="16"/>
        </w:rPr>
        <w:t xml:space="preserve">au </w:t>
      </w:r>
      <w:r>
        <w:rPr>
          <w:sz w:val="16"/>
        </w:rPr>
        <w:t>client</w:t>
      </w:r>
      <w:r>
        <w:rPr>
          <w:sz w:val="16"/>
        </w:rPr>
        <w:t xml:space="preserve">. </w:t>
      </w:r>
      <w:r>
        <w:rPr>
          <w:sz w:val="16"/>
        </w:rPr>
        <w:t xml:space="preserve">MA ne </w:t>
      </w:r>
      <w:r>
        <w:rPr>
          <w:sz w:val="16"/>
        </w:rPr>
        <w:t>commencera</w:t>
      </w:r>
      <w:r>
        <w:rPr>
          <w:sz w:val="16"/>
        </w:rPr>
        <w:t xml:space="preserve"> les </w:t>
      </w:r>
      <w:r>
        <w:rPr>
          <w:sz w:val="16"/>
        </w:rPr>
        <w:t xml:space="preserve">travaux </w:t>
      </w:r>
      <w:r>
        <w:rPr>
          <w:sz w:val="16"/>
        </w:rPr>
        <w:t>qu'après réception de l'avance</w:t>
      </w:r>
      <w:r>
        <w:rPr>
          <w:sz w:val="16"/>
        </w:rPr>
        <w:t xml:space="preserve">. </w:t>
      </w:r>
      <w:r>
        <w:rPr>
          <w:sz w:val="16"/>
        </w:rPr>
        <w:t xml:space="preserve">Cette </w:t>
      </w:r>
      <w:r>
        <w:rPr>
          <w:sz w:val="16"/>
        </w:rPr>
        <w:t xml:space="preserve">avance </w:t>
      </w:r>
      <w:r>
        <w:rPr>
          <w:sz w:val="16"/>
        </w:rPr>
        <w:t xml:space="preserve">sera </w:t>
      </w:r>
      <w:r>
        <w:rPr>
          <w:sz w:val="16"/>
        </w:rPr>
        <w:t xml:space="preserve">déduite </w:t>
      </w:r>
      <w:r>
        <w:rPr>
          <w:sz w:val="16"/>
        </w:rPr>
        <w:t xml:space="preserve">de la dernière facture relative aux travaux auxquels le </w:t>
      </w:r>
      <w:r>
        <w:rPr>
          <w:sz w:val="16"/>
        </w:rPr>
        <w:t>paiement de l'avance se rapporte.</w:t>
      </w:r>
    </w:p>
    <w:p>
      <w:pPr>
        <w:pStyle w:val="ListParagraph"/>
        <w:numPr>
          <w:ilvl w:val="1"/>
          <w:numId w:val="2"/>
        </w:numPr>
        <w:tabs>
          <w:tab w:val="left" w:pos="367"/>
          <w:tab w:val="left" w:pos="369"/>
        </w:tabs>
        <w:spacing w:before="0" w:after="0" w:line="240" w:lineRule="auto"/>
        <w:ind w:left="369" w:right="37" w:hanging="284"/>
        <w:jc w:val="left"/>
        <w:rPr>
          <w:sz w:val="16"/>
        </w:rPr>
      </w:pPr>
      <w:r>
        <w:rPr>
          <w:sz w:val="16"/>
        </w:rPr>
        <w:t xml:space="preserve">Les factures de MA sont </w:t>
      </w:r>
      <w:r>
        <w:rPr>
          <w:sz w:val="16"/>
        </w:rPr>
        <w:t xml:space="preserve">exigibles </w:t>
      </w:r>
      <w:r>
        <w:rPr>
          <w:sz w:val="16"/>
        </w:rPr>
        <w:t xml:space="preserve">quatorze (14) jours après la </w:t>
      </w:r>
      <w:r>
        <w:rPr>
          <w:sz w:val="16"/>
        </w:rPr>
        <w:t xml:space="preserve">date de facturation, sauf </w:t>
      </w:r>
      <w:r>
        <w:rPr>
          <w:sz w:val="16"/>
        </w:rPr>
        <w:t xml:space="preserve">convention </w:t>
      </w:r>
      <w:r>
        <w:rPr>
          <w:sz w:val="16"/>
        </w:rPr>
        <w:t>contraire expresse et écrite</w:t>
      </w:r>
      <w:r>
        <w:rPr>
          <w:sz w:val="16"/>
        </w:rPr>
        <w:t xml:space="preserve">, et doivent </w:t>
      </w:r>
      <w:r>
        <w:rPr>
          <w:sz w:val="16"/>
        </w:rPr>
        <w:t xml:space="preserve">être réglées </w:t>
      </w:r>
      <w:r>
        <w:rPr>
          <w:sz w:val="16"/>
        </w:rPr>
        <w:t xml:space="preserve">sans qu'il soit possible d'invoquer une suspension ou </w:t>
      </w:r>
      <w:r>
        <w:rPr>
          <w:sz w:val="16"/>
        </w:rPr>
        <w:t xml:space="preserve">une compensation. À défaut de </w:t>
      </w:r>
      <w:r>
        <w:rPr>
          <w:sz w:val="16"/>
        </w:rPr>
        <w:t xml:space="preserve">paiement </w:t>
      </w:r>
      <w:r>
        <w:rPr>
          <w:sz w:val="16"/>
        </w:rPr>
        <w:t xml:space="preserve">dans les délais et/ou </w:t>
      </w:r>
      <w:r>
        <w:rPr>
          <w:sz w:val="16"/>
        </w:rPr>
        <w:t>d'un paiement</w:t>
      </w:r>
      <w:r>
        <w:rPr>
          <w:sz w:val="16"/>
        </w:rPr>
        <w:t xml:space="preserve"> intégral</w:t>
      </w:r>
      <w:r>
        <w:rPr>
          <w:sz w:val="16"/>
        </w:rPr>
        <w:t xml:space="preserve">, </w:t>
      </w:r>
      <w:r>
        <w:rPr>
          <w:sz w:val="16"/>
        </w:rPr>
        <w:t xml:space="preserve">le </w:t>
      </w:r>
      <w:r>
        <w:rPr>
          <w:sz w:val="16"/>
        </w:rPr>
        <w:t xml:space="preserve">donneur d'ordre </w:t>
      </w:r>
      <w:r>
        <w:rPr>
          <w:sz w:val="16"/>
        </w:rPr>
        <w:t xml:space="preserve">est </w:t>
      </w:r>
      <w:r>
        <w:rPr>
          <w:sz w:val="16"/>
        </w:rPr>
        <w:t xml:space="preserve">de </w:t>
      </w:r>
      <w:r>
        <w:rPr>
          <w:sz w:val="16"/>
        </w:rPr>
        <w:t xml:space="preserve">plein droit </w:t>
      </w:r>
      <w:r>
        <w:rPr>
          <w:sz w:val="16"/>
        </w:rPr>
        <w:t xml:space="preserve">en </w:t>
      </w:r>
      <w:r>
        <w:rPr>
          <w:sz w:val="16"/>
        </w:rPr>
        <w:t>défaut.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Le donneur d'ordre est alors </w:t>
      </w:r>
      <w:r>
        <w:rPr>
          <w:sz w:val="16"/>
        </w:rPr>
        <w:t xml:space="preserve">redevable </w:t>
      </w:r>
      <w:r>
        <w:rPr>
          <w:sz w:val="16"/>
        </w:rPr>
        <w:t xml:space="preserve">des </w:t>
      </w:r>
      <w:r>
        <w:rPr>
          <w:sz w:val="16"/>
        </w:rPr>
        <w:t xml:space="preserve">intérêts </w:t>
      </w:r>
      <w:r>
        <w:rPr>
          <w:sz w:val="16"/>
        </w:rPr>
        <w:t xml:space="preserve">légaux </w:t>
      </w:r>
      <w:r>
        <w:rPr>
          <w:sz w:val="16"/>
        </w:rPr>
        <w:t xml:space="preserve">(commerciaux) </w:t>
      </w:r>
      <w:r>
        <w:rPr>
          <w:sz w:val="16"/>
        </w:rPr>
        <w:t xml:space="preserve">applicables </w:t>
      </w:r>
      <w:r>
        <w:rPr>
          <w:sz w:val="16"/>
        </w:rPr>
        <w:t xml:space="preserve">sur le montant restant dû. </w:t>
      </w:r>
      <w:r>
        <w:rPr>
          <w:sz w:val="16"/>
        </w:rPr>
        <w:t xml:space="preserve">En outre, le donneur d'ordre est tenu </w:t>
      </w:r>
      <w:r>
        <w:rPr>
          <w:sz w:val="16"/>
        </w:rPr>
        <w:t xml:space="preserve">de rembourser </w:t>
      </w:r>
      <w:r>
        <w:rPr>
          <w:sz w:val="16"/>
        </w:rPr>
        <w:t xml:space="preserve">les frais de </w:t>
      </w:r>
      <w:r>
        <w:rPr>
          <w:sz w:val="16"/>
        </w:rPr>
        <w:t>recouvrement, qui sont fixés forfaitairement à</w:t>
      </w:r>
      <w:r>
        <w:rPr>
          <w:sz w:val="16"/>
        </w:rPr>
        <w:t xml:space="preserve"> 15 % du montant principal.</w:t>
      </w:r>
    </w:p>
    <w:p>
      <w:pPr>
        <w:pStyle w:val="ListParagraph"/>
        <w:numPr>
          <w:ilvl w:val="1"/>
          <w:numId w:val="2"/>
        </w:numPr>
        <w:tabs>
          <w:tab w:val="left" w:pos="367"/>
          <w:tab w:val="left" w:pos="369"/>
        </w:tabs>
        <w:spacing w:before="0" w:after="0" w:line="240" w:lineRule="auto"/>
        <w:ind w:left="369" w:right="241" w:hanging="284"/>
        <w:jc w:val="left"/>
        <w:rPr>
          <w:sz w:val="16"/>
        </w:rPr>
      </w:pPr>
      <w:r>
        <w:rPr>
          <w:sz w:val="16"/>
        </w:rPr>
        <w:t xml:space="preserve">Les paiements effectués par ou au nom du donneur d'ordre sont </w:t>
      </w:r>
      <w:r>
        <w:rPr>
          <w:sz w:val="16"/>
        </w:rPr>
        <w:t xml:space="preserve">d'abord imputés sur les frais dus, </w:t>
      </w:r>
      <w:r>
        <w:rPr>
          <w:sz w:val="16"/>
        </w:rPr>
        <w:t xml:space="preserve">puis </w:t>
      </w:r>
      <w:r>
        <w:rPr>
          <w:sz w:val="16"/>
        </w:rPr>
        <w:t xml:space="preserve">sur </w:t>
      </w:r>
      <w:r>
        <w:rPr>
          <w:sz w:val="16"/>
        </w:rPr>
        <w:t xml:space="preserve">les </w:t>
      </w:r>
      <w:r>
        <w:rPr>
          <w:sz w:val="16"/>
        </w:rPr>
        <w:t xml:space="preserve">intérêts </w:t>
      </w:r>
      <w:r>
        <w:rPr>
          <w:sz w:val="16"/>
        </w:rPr>
        <w:t xml:space="preserve">échus </w:t>
      </w:r>
      <w:r>
        <w:rPr>
          <w:sz w:val="16"/>
        </w:rPr>
        <w:t xml:space="preserve">et </w:t>
      </w:r>
      <w:r>
        <w:rPr>
          <w:sz w:val="16"/>
        </w:rPr>
        <w:t xml:space="preserve">enfin </w:t>
      </w:r>
      <w:r>
        <w:rPr>
          <w:sz w:val="16"/>
        </w:rPr>
        <w:t xml:space="preserve">sur la facture la plus ancienne, même si </w:t>
      </w:r>
      <w:r>
        <w:rPr>
          <w:sz w:val="16"/>
        </w:rPr>
        <w:t xml:space="preserve">le </w:t>
      </w:r>
      <w:r>
        <w:rPr>
          <w:sz w:val="16"/>
        </w:rPr>
        <w:t xml:space="preserve">paiement </w:t>
      </w:r>
      <w:r>
        <w:rPr>
          <w:sz w:val="16"/>
        </w:rPr>
        <w:t xml:space="preserve">effectué par </w:t>
      </w:r>
      <w:r>
        <w:rPr>
          <w:sz w:val="16"/>
        </w:rPr>
        <w:t xml:space="preserve">ou </w:t>
      </w:r>
      <w:r>
        <w:rPr>
          <w:sz w:val="16"/>
        </w:rPr>
        <w:t xml:space="preserve">au nom </w:t>
      </w:r>
      <w:r>
        <w:rPr>
          <w:sz w:val="16"/>
        </w:rPr>
        <w:t xml:space="preserve">du </w:t>
      </w:r>
      <w:r>
        <w:rPr>
          <w:sz w:val="16"/>
        </w:rPr>
        <w:t xml:space="preserve">donneur d'ordre </w:t>
      </w:r>
      <w:r>
        <w:rPr>
          <w:spacing w:val="-2"/>
          <w:sz w:val="16"/>
        </w:rPr>
        <w:t xml:space="preserve">mentionne </w:t>
      </w:r>
      <w:r>
        <w:rPr>
          <w:sz w:val="16"/>
        </w:rPr>
        <w:t xml:space="preserve">autre </w:t>
      </w:r>
      <w:r>
        <w:rPr>
          <w:spacing w:val="-2"/>
          <w:sz w:val="16"/>
        </w:rPr>
        <w:t>chose.</w:t>
      </w:r>
    </w:p>
    <w:p>
      <w:pPr>
        <w:pStyle w:val="BodyText"/>
        <w:ind w:left="0" w:firstLine="0"/>
      </w:pPr>
    </w:p>
    <w:p>
      <w:pPr>
        <w:pStyle w:val="Heading2"/>
        <w:spacing w:before="1"/>
      </w:pPr>
      <w:r>
        <w:rPr>
          <w:sz w:val="16"/>
        </w:rPr>
        <w:t>Article</w:t>
      </w:r>
      <w:r>
        <w:rPr>
          <w:sz w:val="16"/>
        </w:rPr>
        <w:t xml:space="preserve"> 6 </w:t>
      </w:r>
      <w:r>
        <w:rPr>
          <w:sz w:val="16"/>
        </w:rPr>
        <w:t xml:space="preserve">– </w:t>
      </w:r>
      <w:r>
        <w:rPr>
          <w:sz w:val="16"/>
        </w:rPr>
        <w:t xml:space="preserve">Droit </w:t>
      </w:r>
      <w:r>
        <w:rPr>
          <w:sz w:val="16"/>
        </w:rPr>
        <w:t>applicable</w:t>
      </w:r>
      <w:r>
        <w:rPr>
          <w:sz w:val="16"/>
        </w:rPr>
        <w:t xml:space="preserve">, </w:t>
      </w:r>
      <w:r>
        <w:rPr>
          <w:sz w:val="16"/>
        </w:rPr>
        <w:t xml:space="preserve">procédure de réclamation, </w:t>
      </w:r>
      <w:r>
        <w:rPr>
          <w:spacing w:val="-2"/>
          <w:sz w:val="16"/>
        </w:rPr>
        <w:t>règlement des litiges</w:t>
      </w:r>
    </w:p>
    <w:p>
      <w:pPr>
        <w:pStyle w:val="ListParagraph"/>
        <w:numPr>
          <w:ilvl w:val="1"/>
          <w:numId w:val="1"/>
        </w:numPr>
        <w:tabs>
          <w:tab w:val="left" w:pos="367"/>
          <w:tab w:val="left" w:pos="369"/>
        </w:tabs>
        <w:spacing w:before="0" w:after="0" w:line="240" w:lineRule="auto"/>
        <w:ind w:left="369" w:right="10" w:hanging="284"/>
        <w:jc w:val="left"/>
        <w:rPr>
          <w:sz w:val="16"/>
        </w:rPr>
      </w:pPr>
      <w:r>
        <w:rPr>
          <w:sz w:val="16"/>
        </w:rPr>
        <w:t xml:space="preserve">Les contrats conclus entre MA et le donneur d'ordre </w:t>
      </w:r>
      <w:r>
        <w:rPr>
          <w:sz w:val="16"/>
        </w:rPr>
        <w:t>(</w:t>
      </w:r>
      <w:r>
        <w:rPr>
          <w:sz w:val="16"/>
        </w:rPr>
        <w:t>y compris</w:t>
      </w:r>
      <w:r>
        <w:rPr>
          <w:sz w:val="16"/>
        </w:rPr>
        <w:t xml:space="preserve"> les contrats</w:t>
      </w:r>
      <w:r>
        <w:rPr>
          <w:sz w:val="16"/>
        </w:rPr>
        <w:t xml:space="preserve"> futurs</w:t>
      </w:r>
      <w:r>
        <w:rPr>
          <w:sz w:val="16"/>
        </w:rPr>
        <w:t xml:space="preserve">) </w:t>
      </w:r>
      <w:r>
        <w:rPr>
          <w:sz w:val="16"/>
        </w:rPr>
        <w:t xml:space="preserve">sont </w:t>
      </w:r>
      <w:r>
        <w:rPr>
          <w:sz w:val="16"/>
        </w:rPr>
        <w:t xml:space="preserve">exclusivement </w:t>
      </w:r>
      <w:r>
        <w:rPr>
          <w:sz w:val="16"/>
        </w:rPr>
        <w:t>régis</w:t>
      </w:r>
      <w:r>
        <w:rPr>
          <w:sz w:val="16"/>
        </w:rPr>
        <w:t xml:space="preserve"> par </w:t>
      </w:r>
      <w:r>
        <w:rPr>
          <w:sz w:val="16"/>
        </w:rPr>
        <w:t xml:space="preserve">le droit </w:t>
      </w:r>
      <w:r>
        <w:rPr>
          <w:sz w:val="16"/>
        </w:rPr>
        <w:t>néerlandais</w:t>
      </w:r>
      <w:r>
        <w:rPr>
          <w:sz w:val="16"/>
        </w:rPr>
        <w:t>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headerReference w:type="default" r:id="rId4"/>
          <w:footerReference w:type="default" r:id="rId5"/>
          <w:type w:val="continuous"/>
          <w:pgSz w:w="11910" w:h="16840"/>
          <w:pgMar w:top="1980" w:right="992" w:bottom="1120" w:left="1275" w:header="1140" w:footer="936"/>
          <w:pgNumType w:start="1"/>
          <w:cols w:num="2" w:space="708" w:equalWidth="0">
            <w:col w:w="4727" w:space="220"/>
            <w:col w:w="4696" w:space="0"/>
          </w:cols>
        </w:sectPr>
      </w:pPr>
    </w:p>
    <w:p>
      <w:pPr>
        <w:pStyle w:val="ListParagraph"/>
        <w:numPr>
          <w:ilvl w:val="1"/>
          <w:numId w:val="1"/>
        </w:numPr>
        <w:tabs>
          <w:tab w:val="left" w:pos="368"/>
        </w:tabs>
        <w:spacing w:before="58" w:after="0" w:line="240" w:lineRule="auto"/>
        <w:ind w:left="368" w:right="0" w:hanging="282"/>
        <w:jc w:val="left"/>
        <w:rPr>
          <w:sz w:val="16"/>
        </w:rPr>
      </w:pPr>
      <w:r>
        <w:rPr>
          <w:sz w:val="16"/>
        </w:rPr>
        <w:t xml:space="preserve">Pour </w:t>
      </w:r>
      <w:r>
        <w:rPr>
          <w:sz w:val="16"/>
        </w:rPr>
        <w:t xml:space="preserve">les réclamations </w:t>
      </w:r>
      <w:r>
        <w:rPr>
          <w:sz w:val="16"/>
        </w:rPr>
        <w:t xml:space="preserve">du </w:t>
      </w:r>
      <w:r>
        <w:rPr>
          <w:sz w:val="16"/>
        </w:rPr>
        <w:t>donneur d'ordre</w:t>
      </w:r>
      <w:r>
        <w:rPr>
          <w:sz w:val="16"/>
        </w:rPr>
        <w:t xml:space="preserve">, </w:t>
      </w:r>
      <w:r>
        <w:rPr>
          <w:spacing w:val="-5"/>
          <w:sz w:val="16"/>
        </w:rPr>
        <w:t>la</w:t>
      </w:r>
    </w:p>
    <w:p>
      <w:pPr>
        <w:pStyle w:val="BodyText"/>
        <w:spacing w:before="1"/>
        <w:ind w:right="4959" w:firstLine="0"/>
      </w:pPr>
      <w:r>
        <w:rPr>
          <w:sz w:val="16"/>
        </w:rPr>
        <w:t xml:space="preserve">« Règlement interne de traitement des plaintes de </w:t>
      </w:r>
      <w:r>
        <w:rPr>
          <w:sz w:val="16"/>
        </w:rPr>
        <w:t xml:space="preserve">MannaertsAppels </w:t>
      </w:r>
      <w:r>
        <w:rPr>
          <w:sz w:val="16"/>
        </w:rPr>
        <w:t xml:space="preserve">N.V. », </w:t>
      </w:r>
      <w:r>
        <w:rPr>
          <w:sz w:val="16"/>
        </w:rPr>
        <w:t xml:space="preserve">disponible </w:t>
      </w:r>
      <w:r>
        <w:rPr>
          <w:sz w:val="16"/>
        </w:rPr>
        <w:t xml:space="preserve">sur </w:t>
      </w:r>
      <w:r>
        <w:rPr>
          <w:sz w:val="16"/>
        </w:rPr>
        <w:t xml:space="preserve">notre </w:t>
      </w:r>
      <w:r>
        <w:rPr>
          <w:sz w:val="16"/>
        </w:rPr>
        <w:t>site web.</w:t>
      </w:r>
    </w:p>
    <w:p>
      <w:pPr>
        <w:pStyle w:val="ListParagraph"/>
        <w:numPr>
          <w:ilvl w:val="1"/>
          <w:numId w:val="1"/>
        </w:numPr>
        <w:tabs>
          <w:tab w:val="left" w:pos="367"/>
          <w:tab w:val="left" w:pos="369"/>
        </w:tabs>
        <w:spacing w:before="1" w:after="0" w:line="240" w:lineRule="auto"/>
        <w:ind w:left="369" w:right="4953" w:hanging="284"/>
        <w:jc w:val="left"/>
        <w:rPr>
          <w:sz w:val="16"/>
        </w:rPr>
      </w:pPr>
      <w:r>
        <w:rPr>
          <w:sz w:val="16"/>
        </w:rPr>
        <w:t xml:space="preserve">MA est affiliée à la Commission des litiges de l'avocat </w:t>
      </w:r>
      <w:r>
        <w:rPr>
          <w:sz w:val="16"/>
        </w:rPr>
        <w:t xml:space="preserve">d'affaires. Cette Commission est compétente lorsque la plainte </w:t>
      </w:r>
      <w:r>
        <w:rPr>
          <w:sz w:val="16"/>
        </w:rPr>
        <w:t xml:space="preserve">ne </w:t>
      </w:r>
      <w:r>
        <w:rPr>
          <w:sz w:val="16"/>
        </w:rPr>
        <w:t xml:space="preserve">débouche </w:t>
      </w:r>
      <w:r>
        <w:rPr>
          <w:sz w:val="16"/>
        </w:rPr>
        <w:t xml:space="preserve">pas sur une </w:t>
      </w:r>
      <w:r>
        <w:rPr>
          <w:sz w:val="16"/>
        </w:rPr>
        <w:t xml:space="preserve">solution </w:t>
      </w:r>
      <w:r>
        <w:rPr>
          <w:sz w:val="16"/>
        </w:rPr>
        <w:t xml:space="preserve">via </w:t>
      </w:r>
      <w:r>
        <w:rPr>
          <w:sz w:val="16"/>
        </w:rPr>
        <w:t>la procédure interne prévue par le règlement des plaintes</w:t>
      </w:r>
      <w:r>
        <w:rPr>
          <w:sz w:val="16"/>
        </w:rPr>
        <w:t xml:space="preserve">, </w:t>
      </w:r>
      <w:r>
        <w:rPr>
          <w:sz w:val="16"/>
        </w:rPr>
        <w:t xml:space="preserve">et </w:t>
      </w:r>
      <w:r>
        <w:rPr>
          <w:sz w:val="16"/>
        </w:rPr>
        <w:t xml:space="preserve">dans </w:t>
      </w:r>
      <w:r>
        <w:rPr>
          <w:sz w:val="16"/>
        </w:rPr>
        <w:t xml:space="preserve">la mesure où </w:t>
      </w:r>
      <w:r>
        <w:rPr>
          <w:sz w:val="16"/>
        </w:rPr>
        <w:t xml:space="preserve">il </w:t>
      </w:r>
      <w:r>
        <w:rPr>
          <w:sz w:val="16"/>
        </w:rPr>
        <w:t xml:space="preserve">s'agit </w:t>
      </w:r>
      <w:r>
        <w:rPr>
          <w:sz w:val="16"/>
        </w:rPr>
        <w:t>d'</w:t>
      </w:r>
      <w:r>
        <w:rPr>
          <w:sz w:val="16"/>
        </w:rPr>
        <w:t xml:space="preserve">un </w:t>
      </w:r>
      <w:r>
        <w:rPr>
          <w:sz w:val="16"/>
        </w:rPr>
        <w:t xml:space="preserve">litige </w:t>
      </w:r>
      <w:r>
        <w:rPr>
          <w:sz w:val="16"/>
        </w:rPr>
        <w:t xml:space="preserve">pouvant être soumis </w:t>
      </w:r>
      <w:r>
        <w:rPr>
          <w:sz w:val="16"/>
        </w:rPr>
        <w:t xml:space="preserve">à cette </w:t>
      </w:r>
      <w:r>
        <w:rPr>
          <w:sz w:val="16"/>
        </w:rPr>
        <w:t xml:space="preserve">Commission </w:t>
      </w:r>
      <w:r>
        <w:rPr>
          <w:sz w:val="16"/>
        </w:rPr>
        <w:t xml:space="preserve">en vertu </w:t>
      </w:r>
      <w:r>
        <w:rPr>
          <w:sz w:val="16"/>
        </w:rPr>
        <w:t>du Règlement des litiges de l'avocat d'affaires</w:t>
      </w:r>
      <w:r>
        <w:rPr>
          <w:sz w:val="16"/>
        </w:rPr>
        <w:t xml:space="preserve">. Cela concerne </w:t>
      </w:r>
      <w:r>
        <w:rPr>
          <w:sz w:val="16"/>
        </w:rPr>
        <w:t>les litiges entre les clients professionnels de MA (</w:t>
      </w:r>
      <w:r>
        <w:rPr>
          <w:sz w:val="16"/>
        </w:rPr>
        <w:t>les</w:t>
      </w:r>
      <w:r>
        <w:rPr>
          <w:sz w:val="16"/>
        </w:rPr>
        <w:t xml:space="preserve"> bénéficiaires des </w:t>
      </w:r>
      <w:r>
        <w:rPr>
          <w:sz w:val="16"/>
        </w:rPr>
        <w:t xml:space="preserve">services de MA agissant dans le cadre de l'exercice d'une profession </w:t>
      </w:r>
      <w:r>
        <w:rPr>
          <w:sz w:val="16"/>
        </w:rPr>
        <w:t xml:space="preserve">ou d'une activité commerciale) et MA, relatifs à la conclusion ou à l'exécution de </w:t>
      </w:r>
      <w:r>
        <w:rPr>
          <w:sz w:val="16"/>
        </w:rPr>
        <w:t xml:space="preserve">contrats conclus </w:t>
      </w:r>
      <w:r>
        <w:rPr>
          <w:sz w:val="16"/>
        </w:rPr>
        <w:t xml:space="preserve">avec </w:t>
      </w:r>
      <w:r>
        <w:rPr>
          <w:sz w:val="16"/>
        </w:rPr>
        <w:t xml:space="preserve">MA, ainsi que les litiges en matière de facturation, </w:t>
      </w:r>
      <w:r>
        <w:rPr>
          <w:sz w:val="16"/>
        </w:rPr>
        <w:t xml:space="preserve">sauf si </w:t>
      </w:r>
      <w:r>
        <w:rPr>
          <w:sz w:val="16"/>
        </w:rPr>
        <w:t xml:space="preserve">la </w:t>
      </w:r>
      <w:r>
        <w:rPr>
          <w:sz w:val="16"/>
        </w:rPr>
        <w:t xml:space="preserve">Commission des litiges </w:t>
      </w:r>
      <w:r>
        <w:rPr>
          <w:sz w:val="16"/>
        </w:rPr>
        <w:t xml:space="preserve">estime </w:t>
      </w:r>
      <w:r>
        <w:rPr>
          <w:sz w:val="16"/>
        </w:rPr>
        <w:t xml:space="preserve">ne pas </w:t>
      </w:r>
      <w:r>
        <w:rPr>
          <w:sz w:val="16"/>
        </w:rPr>
        <w:t xml:space="preserve">être compétente </w:t>
      </w:r>
      <w:r>
        <w:rPr>
          <w:sz w:val="16"/>
        </w:rPr>
        <w:t>à cet égard</w:t>
      </w:r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Le </w:t>
      </w:r>
      <w:r>
        <w:rPr>
          <w:sz w:val="16"/>
        </w:rPr>
        <w:t xml:space="preserve">règlement de la Commission des litiges du barreau des affaires est </w:t>
      </w:r>
      <w:r>
        <w:rPr>
          <w:sz w:val="16"/>
        </w:rPr>
        <w:t xml:space="preserve">envoyé au client </w:t>
      </w:r>
      <w:r>
        <w:rPr>
          <w:sz w:val="16"/>
        </w:rPr>
        <w:t xml:space="preserve">à </w:t>
      </w:r>
      <w:r>
        <w:rPr>
          <w:sz w:val="16"/>
        </w:rPr>
        <w:t xml:space="preserve">sa première demande et peut être consulté sur </w:t>
      </w:r>
      <w:r>
        <w:rPr>
          <w:sz w:val="16"/>
        </w:rPr>
        <w:t>le site web</w:t>
      </w:r>
      <w:hyperlink r:id="rId6">
        <w:r>
          <w:rPr>
            <w:sz w:val="16"/>
          </w:rPr>
          <w:t xml:space="preserve"> www.degeschillencommissie.nl</w:t>
        </w:r>
      </w:hyperlink>
      <w:r>
        <w:rPr>
          <w:sz w:val="16"/>
        </w:rPr>
        <w:t xml:space="preserve">. La </w:t>
      </w:r>
      <w:r>
        <w:rPr>
          <w:sz w:val="16"/>
        </w:rPr>
        <w:t xml:space="preserve">Commission des litiges du barreau des affaires statue par voie </w:t>
      </w:r>
      <w:r>
        <w:rPr>
          <w:spacing w:val="-2"/>
          <w:sz w:val="16"/>
        </w:rPr>
        <w:t>d'arbitrage.</w:t>
      </w:r>
    </w:p>
    <w:p>
      <w:pPr>
        <w:pStyle w:val="ListParagraph"/>
        <w:numPr>
          <w:ilvl w:val="1"/>
          <w:numId w:val="1"/>
        </w:numPr>
        <w:tabs>
          <w:tab w:val="left" w:pos="367"/>
          <w:tab w:val="left" w:pos="369"/>
        </w:tabs>
        <w:spacing w:before="0" w:after="0" w:line="240" w:lineRule="auto"/>
        <w:ind w:left="369" w:right="4967" w:hanging="284"/>
        <w:jc w:val="left"/>
        <w:rPr>
          <w:sz w:val="16"/>
        </w:rPr>
      </w:pPr>
      <w:r>
        <w:rPr>
          <w:sz w:val="16"/>
        </w:rPr>
        <w:t xml:space="preserve">MA est affiliée à la Commission des litiges du barreau </w:t>
      </w:r>
      <w:r>
        <w:rPr>
          <w:sz w:val="16"/>
        </w:rPr>
        <w:t xml:space="preserve">(consommateurs). Cette commission est compétente lorsque la </w:t>
      </w:r>
      <w:r>
        <w:rPr>
          <w:sz w:val="16"/>
        </w:rPr>
        <w:t xml:space="preserve">plainte </w:t>
      </w:r>
      <w:r>
        <w:rPr>
          <w:sz w:val="16"/>
        </w:rPr>
        <w:t xml:space="preserve">n'aboutit pas à une solution </w:t>
      </w:r>
      <w:r>
        <w:rPr>
          <w:sz w:val="16"/>
        </w:rPr>
        <w:t>dans le cadre de la procédure interne prévue par le règlement des plaintes</w:t>
      </w:r>
      <w:r>
        <w:rPr>
          <w:sz w:val="16"/>
        </w:rPr>
        <w:t xml:space="preserve">, et dans la mesure où il s'agit </w:t>
      </w:r>
      <w:r>
        <w:rPr>
          <w:sz w:val="16"/>
        </w:rPr>
        <w:t>d'</w:t>
      </w:r>
      <w:r>
        <w:rPr>
          <w:sz w:val="16"/>
        </w:rPr>
        <w:t xml:space="preserve">un litige </w:t>
      </w:r>
      <w:r>
        <w:rPr>
          <w:sz w:val="16"/>
        </w:rPr>
        <w:t xml:space="preserve">pouvant être soumis à cette commission </w:t>
      </w:r>
      <w:r>
        <w:rPr>
          <w:sz w:val="16"/>
        </w:rPr>
        <w:t>en vertu du règlement des litiges du barreau (consommateurs)</w:t>
      </w:r>
      <w:r>
        <w:rPr>
          <w:sz w:val="16"/>
        </w:rPr>
        <w:t xml:space="preserve">. Cela concerne </w:t>
      </w:r>
      <w:r>
        <w:rPr>
          <w:sz w:val="16"/>
        </w:rPr>
        <w:t xml:space="preserve">tous </w:t>
      </w:r>
      <w:r>
        <w:rPr>
          <w:sz w:val="16"/>
        </w:rPr>
        <w:t xml:space="preserve">les litiges soumis </w:t>
      </w:r>
      <w:r>
        <w:rPr>
          <w:sz w:val="16"/>
        </w:rPr>
        <w:t xml:space="preserve">à la Commission des litiges </w:t>
      </w:r>
      <w:r>
        <w:rPr>
          <w:sz w:val="16"/>
        </w:rPr>
        <w:t xml:space="preserve">par </w:t>
      </w:r>
      <w:r>
        <w:rPr>
          <w:sz w:val="16"/>
        </w:rPr>
        <w:t xml:space="preserve">des clients consommateurs </w:t>
      </w:r>
      <w:r>
        <w:rPr>
          <w:sz w:val="16"/>
        </w:rPr>
        <w:t>(</w:t>
      </w:r>
      <w:r>
        <w:rPr>
          <w:sz w:val="16"/>
        </w:rPr>
        <w:t xml:space="preserve">c'est-à-dire </w:t>
      </w:r>
      <w:r>
        <w:rPr>
          <w:sz w:val="16"/>
        </w:rPr>
        <w:t xml:space="preserve">un </w:t>
      </w:r>
      <w:r>
        <w:rPr>
          <w:sz w:val="16"/>
        </w:rPr>
        <w:t xml:space="preserve">bénéficiaire des services de MA qui n'agit pas dans le cadre </w:t>
      </w:r>
      <w:r>
        <w:rPr>
          <w:sz w:val="16"/>
        </w:rPr>
        <w:t>de l'</w:t>
      </w:r>
      <w:r>
        <w:rPr>
          <w:sz w:val="16"/>
        </w:rPr>
        <w:t xml:space="preserve">exercice </w:t>
      </w:r>
      <w:r>
        <w:rPr>
          <w:sz w:val="16"/>
        </w:rPr>
        <w:t xml:space="preserve">d'une profession ou d'une activité commerciale) </w:t>
      </w:r>
      <w:r>
        <w:rPr>
          <w:sz w:val="16"/>
        </w:rPr>
        <w:t xml:space="preserve">relatifs à la conclusion ou </w:t>
      </w:r>
      <w:r>
        <w:rPr>
          <w:sz w:val="16"/>
        </w:rPr>
        <w:t>à</w:t>
      </w:r>
      <w:r>
        <w:rPr>
          <w:sz w:val="16"/>
        </w:rPr>
        <w:t xml:space="preserve"> l'exécution </w:t>
      </w:r>
      <w:r>
        <w:rPr>
          <w:sz w:val="16"/>
        </w:rPr>
        <w:t xml:space="preserve">de contrats avec MA, ainsi que les litiges relatifs aux honoraires, à moins que la </w:t>
      </w:r>
      <w:r>
        <w:rPr>
          <w:sz w:val="16"/>
        </w:rPr>
        <w:t xml:space="preserve">Commission des litiges ne se déclare incompétente. Le </w:t>
      </w:r>
      <w:r>
        <w:rPr>
          <w:sz w:val="16"/>
        </w:rPr>
        <w:t xml:space="preserve">règlement de la Commission des litiges du barreau (consommateurs) </w:t>
      </w:r>
      <w:r>
        <w:rPr>
          <w:sz w:val="16"/>
        </w:rPr>
        <w:t xml:space="preserve">est envoyé au client à sa première demande et peut </w:t>
      </w:r>
      <w:r>
        <w:rPr>
          <w:sz w:val="16"/>
        </w:rPr>
        <w:t xml:space="preserve">être consulté sur le site </w:t>
      </w:r>
      <w:hyperlink r:id="rId7">
        <w:r>
          <w:rPr>
            <w:sz w:val="16"/>
          </w:rPr>
          <w:t>web www.degeschillencommissie.nl</w:t>
        </w:r>
      </w:hyperlink>
      <w:r>
        <w:rPr>
          <w:sz w:val="16"/>
        </w:rPr>
        <w:t xml:space="preserve">. La </w:t>
      </w:r>
      <w:r>
        <w:rPr>
          <w:sz w:val="16"/>
        </w:rPr>
        <w:t xml:space="preserve">Commission des litiges du barreau (consommateurs) statue par </w:t>
      </w:r>
      <w:r>
        <w:rPr>
          <w:sz w:val="16"/>
        </w:rPr>
        <w:t xml:space="preserve">voie </w:t>
      </w:r>
      <w:r>
        <w:rPr>
          <w:sz w:val="16"/>
        </w:rPr>
        <w:t xml:space="preserve">d'avis </w:t>
      </w:r>
      <w:r>
        <w:rPr>
          <w:sz w:val="16"/>
        </w:rPr>
        <w:t xml:space="preserve">contraignant </w:t>
      </w:r>
      <w:r>
        <w:rPr>
          <w:sz w:val="16"/>
        </w:rPr>
        <w:t xml:space="preserve">si </w:t>
      </w:r>
      <w:r>
        <w:rPr>
          <w:sz w:val="16"/>
        </w:rPr>
        <w:t xml:space="preserve">le litige </w:t>
      </w:r>
      <w:r>
        <w:rPr>
          <w:sz w:val="16"/>
        </w:rPr>
        <w:t xml:space="preserve">est </w:t>
      </w:r>
      <w:r>
        <w:rPr>
          <w:sz w:val="16"/>
        </w:rPr>
        <w:t>porté</w:t>
      </w:r>
      <w:r>
        <w:rPr>
          <w:sz w:val="16"/>
        </w:rPr>
        <w:t xml:space="preserve"> devant elle </w:t>
      </w:r>
      <w:r>
        <w:rPr>
          <w:sz w:val="16"/>
        </w:rPr>
        <w:t xml:space="preserve">par </w:t>
      </w:r>
      <w:r>
        <w:rPr>
          <w:sz w:val="16"/>
        </w:rPr>
        <w:t xml:space="preserve">le client. Dans tous les autres cas, la Commission des litiges statue </w:t>
      </w:r>
      <w:r>
        <w:rPr>
          <w:sz w:val="16"/>
        </w:rPr>
        <w:t xml:space="preserve">par voie d'arbitrage. Un client consommateur au sens du présent </w:t>
      </w:r>
      <w:r>
        <w:rPr>
          <w:sz w:val="16"/>
        </w:rPr>
        <w:t xml:space="preserve">paragraphe a toujours le choix et le droit de ne </w:t>
      </w:r>
      <w:r>
        <w:rPr>
          <w:sz w:val="16"/>
        </w:rPr>
        <w:t xml:space="preserve">pas soumettre </w:t>
      </w:r>
      <w:r>
        <w:rPr>
          <w:sz w:val="16"/>
        </w:rPr>
        <w:t xml:space="preserve">un litige </w:t>
      </w:r>
      <w:r>
        <w:rPr>
          <w:sz w:val="16"/>
        </w:rPr>
        <w:t xml:space="preserve">à la Commission des litiges, mais au </w:t>
      </w:r>
      <w:r>
        <w:rPr>
          <w:sz w:val="16"/>
        </w:rPr>
        <w:t>juge civil, et peut, sur demande</w:t>
      </w:r>
      <w:r>
        <w:rPr>
          <w:sz w:val="16"/>
        </w:rPr>
        <w:t xml:space="preserve">, solliciter des informations </w:t>
      </w:r>
      <w:r>
        <w:rPr>
          <w:sz w:val="16"/>
        </w:rPr>
        <w:t>complémentaires auprès de MA à ce sujet</w:t>
      </w:r>
      <w:r>
        <w:rPr>
          <w:sz w:val="16"/>
        </w:rPr>
        <w:t xml:space="preserve">, y compris sur la différence entre un règlement par </w:t>
      </w:r>
      <w:r>
        <w:rPr>
          <w:sz w:val="16"/>
        </w:rPr>
        <w:t xml:space="preserve">la Commission des litiges et </w:t>
      </w:r>
      <w:r>
        <w:rPr>
          <w:sz w:val="16"/>
        </w:rPr>
        <w:t xml:space="preserve">un règlement </w:t>
      </w:r>
      <w:r>
        <w:rPr>
          <w:sz w:val="16"/>
        </w:rPr>
        <w:t>par le juge.</w:t>
      </w:r>
    </w:p>
    <w:p>
      <w:pPr>
        <w:pStyle w:val="ListParagraph"/>
        <w:numPr>
          <w:ilvl w:val="1"/>
          <w:numId w:val="1"/>
        </w:numPr>
        <w:tabs>
          <w:tab w:val="left" w:pos="367"/>
          <w:tab w:val="left" w:pos="369"/>
        </w:tabs>
        <w:spacing w:before="1" w:after="0" w:line="240" w:lineRule="auto"/>
        <w:ind w:left="369" w:right="5025" w:hanging="284"/>
        <w:jc w:val="left"/>
        <w:rPr>
          <w:sz w:val="16"/>
        </w:rPr>
      </w:pPr>
      <w:r>
        <w:rPr>
          <w:sz w:val="16"/>
        </w:rPr>
        <w:t xml:space="preserve">Si un litige entre un client de MA et MA </w:t>
      </w:r>
      <w:r>
        <w:rPr>
          <w:sz w:val="16"/>
        </w:rPr>
        <w:t xml:space="preserve">concerne </w:t>
      </w:r>
      <w:r>
        <w:rPr>
          <w:sz w:val="16"/>
        </w:rPr>
        <w:t xml:space="preserve">également une </w:t>
      </w:r>
      <w:r>
        <w:rPr>
          <w:sz w:val="16"/>
        </w:rPr>
        <w:t xml:space="preserve">demande </w:t>
      </w:r>
      <w:r>
        <w:rPr>
          <w:sz w:val="16"/>
        </w:rPr>
        <w:t xml:space="preserve">d'indemnisation </w:t>
      </w:r>
      <w:r>
        <w:rPr>
          <w:sz w:val="16"/>
        </w:rPr>
        <w:t xml:space="preserve">du </w:t>
      </w:r>
      <w:r>
        <w:rPr>
          <w:sz w:val="16"/>
        </w:rPr>
        <w:t xml:space="preserve">client </w:t>
      </w:r>
      <w:r>
        <w:rPr>
          <w:sz w:val="16"/>
        </w:rPr>
        <w:t xml:space="preserve">d'un </w:t>
      </w:r>
      <w:r>
        <w:rPr>
          <w:sz w:val="16"/>
        </w:rPr>
        <w:t xml:space="preserve">montant </w:t>
      </w:r>
      <w:r>
        <w:rPr>
          <w:sz w:val="16"/>
        </w:rPr>
        <w:t xml:space="preserve">supérieur à 25 000 €, la </w:t>
      </w:r>
      <w:r>
        <w:rPr>
          <w:sz w:val="16"/>
        </w:rPr>
        <w:t xml:space="preserve">Commission des litiges </w:t>
      </w:r>
      <w:r>
        <w:rPr>
          <w:sz w:val="16"/>
        </w:rPr>
        <w:t>n'</w:t>
      </w:r>
      <w:r>
        <w:rPr>
          <w:sz w:val="16"/>
        </w:rPr>
        <w:t xml:space="preserve">est </w:t>
      </w:r>
      <w:r>
        <w:rPr>
          <w:sz w:val="16"/>
        </w:rPr>
        <w:t xml:space="preserve">pas </w:t>
      </w:r>
      <w:r>
        <w:rPr>
          <w:sz w:val="16"/>
        </w:rPr>
        <w:t xml:space="preserve">compétente </w:t>
      </w:r>
      <w:r>
        <w:rPr>
          <w:sz w:val="16"/>
        </w:rPr>
        <w:t>pour cette demande</w:t>
      </w:r>
      <w:r>
        <w:rPr>
          <w:sz w:val="16"/>
        </w:rPr>
        <w:t xml:space="preserve">, </w:t>
      </w:r>
      <w:r>
        <w:rPr>
          <w:sz w:val="16"/>
        </w:rPr>
        <w:t xml:space="preserve">mais </w:t>
      </w:r>
      <w:r>
        <w:rPr>
          <w:sz w:val="16"/>
        </w:rPr>
        <w:t xml:space="preserve">uniquement </w:t>
      </w:r>
      <w:r>
        <w:rPr>
          <w:sz w:val="16"/>
        </w:rPr>
        <w:t xml:space="preserve">le </w:t>
      </w:r>
      <w:r>
        <w:rPr>
          <w:sz w:val="16"/>
        </w:rPr>
        <w:t xml:space="preserve">juge </w:t>
      </w:r>
      <w:r>
        <w:rPr>
          <w:sz w:val="16"/>
        </w:rPr>
        <w:t>compétent</w:t>
      </w:r>
      <w:r>
        <w:rPr>
          <w:sz w:val="16"/>
        </w:rPr>
        <w:t xml:space="preserve">, à savoir exclusivement le juge civil. De même, tous </w:t>
      </w:r>
      <w:r>
        <w:rPr>
          <w:sz w:val="16"/>
        </w:rPr>
        <w:t xml:space="preserve">les </w:t>
      </w:r>
      <w:r>
        <w:rPr>
          <w:sz w:val="16"/>
        </w:rPr>
        <w:t xml:space="preserve">autres </w:t>
      </w:r>
      <w:r>
        <w:rPr>
          <w:sz w:val="16"/>
        </w:rPr>
        <w:t xml:space="preserve">litiges découlant du contrat entre MA et le </w:t>
      </w:r>
      <w:r>
        <w:rPr>
          <w:sz w:val="16"/>
        </w:rPr>
        <w:t xml:space="preserve">donneur d'ordre, qui ne </w:t>
      </w:r>
      <w:r>
        <w:rPr>
          <w:sz w:val="16"/>
        </w:rPr>
        <w:t xml:space="preserve">sont </w:t>
      </w:r>
      <w:r>
        <w:rPr>
          <w:sz w:val="16"/>
        </w:rPr>
        <w:t xml:space="preserve">pas </w:t>
      </w:r>
      <w:r>
        <w:rPr>
          <w:sz w:val="16"/>
        </w:rPr>
        <w:t xml:space="preserve">tranchés </w:t>
      </w:r>
      <w:r>
        <w:rPr>
          <w:sz w:val="16"/>
        </w:rPr>
        <w:t xml:space="preserve">par l'une des commissions des litiges </w:t>
      </w:r>
      <w:r>
        <w:rPr>
          <w:sz w:val="16"/>
        </w:rPr>
        <w:t xml:space="preserve">conformément aux paragraphes 3 et 4 du présent article, seront </w:t>
      </w:r>
      <w:r>
        <w:rPr>
          <w:sz w:val="16"/>
        </w:rPr>
        <w:t xml:space="preserve">exclusivement jugés par le tribunal compétent de Breda, </w:t>
      </w:r>
      <w:r>
        <w:rPr>
          <w:sz w:val="16"/>
        </w:rPr>
        <w:t xml:space="preserve">sauf disposition contraire impérative de la loi ou </w:t>
      </w:r>
      <w:r>
        <w:rPr>
          <w:sz w:val="16"/>
        </w:rPr>
        <w:t>accord contraire expressément convenu par écrit entre</w:t>
      </w:r>
      <w:r>
        <w:rPr>
          <w:sz w:val="16"/>
        </w:rPr>
        <w:t xml:space="preserve"> les parties</w:t>
      </w:r>
      <w:r>
        <w:rPr>
          <w:sz w:val="16"/>
        </w:rPr>
        <w:t>.</w:t>
      </w:r>
    </w:p>
    <w:p>
      <w:pPr>
        <w:pStyle w:val="BodyText"/>
        <w:spacing w:before="195"/>
        <w:ind w:left="0" w:firstLine="0"/>
      </w:pPr>
    </w:p>
    <w:p>
      <w:pPr>
        <w:pStyle w:val="BodyText"/>
        <w:ind w:left="86" w:right="4959" w:firstLine="0"/>
      </w:pPr>
      <w:r>
        <w:rPr>
          <w:sz w:val="16"/>
        </w:rPr>
        <w:t xml:space="preserve">MannaertsAppels </w:t>
      </w:r>
      <w:r>
        <w:rPr>
          <w:sz w:val="16"/>
        </w:rPr>
        <w:t xml:space="preserve">N.V. </w:t>
      </w:r>
      <w:r>
        <w:rPr>
          <w:sz w:val="16"/>
        </w:rPr>
        <w:t xml:space="preserve">a </w:t>
      </w:r>
      <w:r>
        <w:rPr>
          <w:sz w:val="16"/>
        </w:rPr>
        <w:t xml:space="preserve">son siège </w:t>
      </w:r>
      <w:r>
        <w:rPr>
          <w:sz w:val="16"/>
        </w:rPr>
        <w:t xml:space="preserve">social </w:t>
      </w:r>
      <w:r>
        <w:rPr>
          <w:sz w:val="16"/>
        </w:rPr>
        <w:t xml:space="preserve">à </w:t>
      </w:r>
      <w:r>
        <w:rPr>
          <w:sz w:val="16"/>
        </w:rPr>
        <w:t xml:space="preserve">Tilburg </w:t>
      </w:r>
      <w:r>
        <w:rPr>
          <w:sz w:val="16"/>
        </w:rPr>
        <w:t xml:space="preserve">et </w:t>
      </w:r>
      <w:r>
        <w:rPr>
          <w:sz w:val="16"/>
        </w:rPr>
        <w:t xml:space="preserve">est inscrite </w:t>
      </w:r>
      <w:r>
        <w:rPr>
          <w:sz w:val="16"/>
        </w:rPr>
        <w:t>au registre du commerce sous le numéro 17252992.</w:t>
      </w:r>
    </w:p>
    <w:sectPr>
      <w:pgSz w:w="11910" w:h="16840"/>
      <w:pgMar w:top="1980" w:right="992" w:bottom="1120" w:left="1275" w:header="1140" w:footer="936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1"/>
    <w:family w:val="roman"/>
    <w:pitch w:val="variable"/>
  </w:font>
  <w:font w:name="Arial">
    <w:altName w:val="Arial"/>
    <w:charset w:val="01"/>
    <w:family w:val="swiss"/>
    <w:pitch w:val="variable"/>
  </w:font>
  <w:font w:name="Calibri">
    <w:altName w:val="Calibri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6706234</wp:posOffset>
          </wp:positionH>
          <wp:positionV relativeFrom="page">
            <wp:posOffset>9970768</wp:posOffset>
          </wp:positionV>
          <wp:extent cx="198120" cy="264159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120" cy="264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784818</wp:posOffset>
          </wp:positionH>
          <wp:positionV relativeFrom="page">
            <wp:posOffset>10096499</wp:posOffset>
          </wp:positionV>
          <wp:extent cx="5756482" cy="9525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482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851712</wp:posOffset>
              </wp:positionH>
              <wp:positionV relativeFrom="page">
                <wp:posOffset>10233607</wp:posOffset>
              </wp:positionV>
              <wp:extent cx="439420" cy="11430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3942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162" w:lineRule="exact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1er mai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2024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34.6pt;height:9pt;margin-top:805.8pt;margin-left:67.06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0" w:line="162" w:lineRule="exact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1er mai</w:t>
                    </w:r>
                    <w:r>
                      <w:rPr>
                        <w:spacing w:val="-4"/>
                        <w:sz w:val="14"/>
                      </w:rPr>
                      <w:t xml:space="preserve"> 2024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868044</wp:posOffset>
          </wp:positionH>
          <wp:positionV relativeFrom="page">
            <wp:posOffset>723899</wp:posOffset>
          </wp:positionV>
          <wp:extent cx="2303780" cy="303529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780" cy="303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41680"/>
    <w:multiLevelType w:val="hybridMultilevel"/>
    <w:tmpl w:val="00000000"/>
    <w:lvl w:ilvl="0">
      <w:start w:val="6"/>
      <w:numFmt w:val="decimal"/>
      <w:lvlText w:val="%1"/>
      <w:lvlJc w:val="left"/>
      <w:pPr>
        <w:ind w:left="369" w:hanging="284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6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226" w:hanging="284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1659" w:hanging="284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093" w:hanging="284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526" w:hanging="284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2959" w:hanging="284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3392" w:hanging="284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3825" w:hanging="284"/>
      </w:pPr>
      <w:rPr>
        <w:rFonts w:hint="default"/>
        <w:lang w:val="nl-NL" w:eastAsia="en-US" w:bidi="ar-SA"/>
      </w:rPr>
    </w:lvl>
  </w:abstractNum>
  <w:abstractNum w:abstractNumId="1">
    <w:nsid w:val="0AAF6A43"/>
    <w:multiLevelType w:val="hybridMultilevel"/>
    <w:tmpl w:val="00000000"/>
    <w:lvl w:ilvl="0">
      <w:start w:val="1"/>
      <w:numFmt w:val="decimal"/>
      <w:lvlText w:val="%1"/>
      <w:lvlJc w:val="left"/>
      <w:pPr>
        <w:ind w:left="369" w:hanging="284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6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233" w:hanging="284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1669" w:hanging="284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106" w:hanging="284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543" w:hanging="284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2979" w:hanging="284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3416" w:hanging="284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3852" w:hanging="284"/>
      </w:pPr>
      <w:rPr>
        <w:rFonts w:hint="default"/>
        <w:lang w:val="nl-NL" w:eastAsia="en-US" w:bidi="ar-SA"/>
      </w:rPr>
    </w:lvl>
  </w:abstractNum>
  <w:abstractNum w:abstractNumId="2">
    <w:nsid w:val="0C218103"/>
    <w:multiLevelType w:val="hybridMultilevel"/>
    <w:tmpl w:val="00000000"/>
    <w:lvl w:ilvl="0">
      <w:start w:val="2"/>
      <w:numFmt w:val="decimal"/>
      <w:lvlText w:val="%1"/>
      <w:lvlJc w:val="left"/>
      <w:pPr>
        <w:ind w:left="369" w:hanging="284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6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233" w:hanging="284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1669" w:hanging="284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106" w:hanging="284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543" w:hanging="284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2979" w:hanging="284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3416" w:hanging="284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3852" w:hanging="284"/>
      </w:pPr>
      <w:rPr>
        <w:rFonts w:hint="default"/>
        <w:lang w:val="nl-NL" w:eastAsia="en-US" w:bidi="ar-SA"/>
      </w:rPr>
    </w:lvl>
  </w:abstractNum>
  <w:abstractNum w:abstractNumId="3">
    <w:nsid w:val="35C5EA00"/>
    <w:multiLevelType w:val="hybridMultilevel"/>
    <w:tmpl w:val="00000000"/>
    <w:lvl w:ilvl="0">
      <w:start w:val="5"/>
      <w:numFmt w:val="decimal"/>
      <w:lvlText w:val="%1"/>
      <w:lvlJc w:val="left"/>
      <w:pPr>
        <w:ind w:left="369" w:hanging="284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6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226" w:hanging="284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1659" w:hanging="284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093" w:hanging="284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526" w:hanging="284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2959" w:hanging="284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3392" w:hanging="284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3825" w:hanging="284"/>
      </w:pPr>
      <w:rPr>
        <w:rFonts w:hint="default"/>
        <w:lang w:val="nl-NL" w:eastAsia="en-US" w:bidi="ar-SA"/>
      </w:rPr>
    </w:lvl>
  </w:abstractNum>
  <w:abstractNum w:abstractNumId="4">
    <w:nsid w:val="37FFA331"/>
    <w:multiLevelType w:val="hybridMultilevel"/>
    <w:tmpl w:val="00000000"/>
    <w:lvl w:ilvl="0">
      <w:start w:val="3"/>
      <w:numFmt w:val="decimal"/>
      <w:lvlText w:val="%1"/>
      <w:lvlJc w:val="left"/>
      <w:pPr>
        <w:ind w:left="369" w:hanging="284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6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233" w:hanging="284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1669" w:hanging="284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106" w:hanging="284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543" w:hanging="284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2979" w:hanging="284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3416" w:hanging="284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3852" w:hanging="284"/>
      </w:pPr>
      <w:rPr>
        <w:rFonts w:hint="default"/>
        <w:lang w:val="nl-NL" w:eastAsia="en-US" w:bidi="ar-SA"/>
      </w:rPr>
    </w:lvl>
  </w:abstractNum>
  <w:abstractNum w:abstractNumId="5">
    <w:nsid w:val="6FD1B4D6"/>
    <w:multiLevelType w:val="hybridMultilevel"/>
    <w:tmpl w:val="00000000"/>
    <w:lvl w:ilvl="0">
      <w:start w:val="4"/>
      <w:numFmt w:val="decimal"/>
      <w:lvlText w:val="%1"/>
      <w:lvlJc w:val="left"/>
      <w:pPr>
        <w:ind w:left="369" w:hanging="284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6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233" w:hanging="284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1669" w:hanging="284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106" w:hanging="284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543" w:hanging="284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2979" w:hanging="284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3416" w:hanging="284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3852" w:hanging="284"/>
      </w:pPr>
      <w:rPr>
        <w:rFonts w:hint="default"/>
        <w:lang w:val="nl-NL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nl-NL" w:eastAsia="en-US" w:bidi="ar-SA"/>
    </w:rPr>
  </w:style>
  <w:style w:type="paragraph" w:styleId="Heading1">
    <w:name w:val="heading 1"/>
    <w:basedOn w:val="Normal"/>
    <w:uiPriority w:val="1"/>
    <w:qFormat/>
    <w:pPr>
      <w:spacing w:before="58"/>
      <w:ind w:left="86"/>
      <w:outlineLvl w:val="0"/>
    </w:pPr>
    <w:rPr>
      <w:rFonts w:ascii="Calibri" w:eastAsia="Calibri" w:hAnsi="Calibri" w:cs="Calibri"/>
      <w:b/>
      <w:bCs/>
      <w:sz w:val="22"/>
      <w:szCs w:val="22"/>
      <w:lang w:val="nl-NL" w:eastAsia="en-US" w:bidi="ar-SA"/>
    </w:rPr>
  </w:style>
  <w:style w:type="paragraph" w:styleId="Heading2">
    <w:name w:val="heading 2"/>
    <w:basedOn w:val="Normal"/>
    <w:uiPriority w:val="1"/>
    <w:qFormat/>
    <w:pPr>
      <w:spacing w:line="195" w:lineRule="exact"/>
      <w:ind w:left="86"/>
      <w:outlineLvl w:val="1"/>
    </w:pPr>
    <w:rPr>
      <w:rFonts w:ascii="Calibri" w:eastAsia="Calibri" w:hAnsi="Calibri" w:cs="Calibri"/>
      <w:b/>
      <w:bCs/>
      <w:sz w:val="16"/>
      <w:szCs w:val="16"/>
      <w:lang w:val="nl-NL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369" w:hanging="284"/>
    </w:pPr>
    <w:rPr>
      <w:rFonts w:ascii="Calibri" w:eastAsia="Calibri" w:hAnsi="Calibri" w:cs="Calibri"/>
      <w:sz w:val="16"/>
      <w:szCs w:val="16"/>
      <w:lang w:val="nl-NL" w:eastAsia="en-US" w:bidi="ar-SA"/>
    </w:rPr>
  </w:style>
  <w:style w:type="paragraph" w:styleId="ListParagraph">
    <w:name w:val="List Paragraph"/>
    <w:basedOn w:val="Normal"/>
    <w:uiPriority w:val="1"/>
    <w:qFormat/>
    <w:pPr>
      <w:ind w:left="369" w:hanging="284"/>
    </w:pPr>
    <w:rPr>
      <w:rFonts w:ascii="Calibri" w:eastAsia="Calibri" w:hAnsi="Calibri" w:cs="Calibri"/>
      <w:lang w:val="nl-NL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nl-N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yperlink" Target="http://www.degeschillencommissie.nl/" TargetMode="External" /><Relationship Id="rId7" Type="http://schemas.openxmlformats.org/officeDocument/2006/relationships/hyperlink" Target="http://www.degeschillencommissie.nl/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Artikel 1 – Algemeen</dc:title>
  <dc:creator>Paul Alofs</dc:creator>
  <cp:keywords>, docId:1075B5F030DB0BB40A2D59312F837F9B</cp:keywords>
  <cp:revision>0</cp:revision>
  <dcterms:created xsi:type="dcterms:W3CDTF">2026-04-08T10:14:04Z</dcterms:created>
  <dcterms:modified xsi:type="dcterms:W3CDTF">2026-04-08T10:14:04Z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2019</vt:lpwstr>
  </property>
</Properties>
</file>