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Heading1"/>
      </w:pPr>
      <w:r>
        <w:rPr>
          <w:color w:val="4D4D4D"/>
          <w:sz w:val="21"/>
        </w:rPr>
        <w:t xml:space="preserve">Allgemeine </w:t>
      </w:r>
      <w:r>
        <w:rPr>
          <w:color w:val="4D4D4D"/>
          <w:sz w:val="21"/>
        </w:rPr>
        <w:t xml:space="preserve">Geschäftsbedingungen </w:t>
      </w:r>
      <w:r>
        <w:rPr>
          <w:color w:val="4D4D4D"/>
          <w:sz w:val="21"/>
        </w:rPr>
        <w:t xml:space="preserve">MannaertsAppels </w:t>
      </w:r>
      <w:r>
        <w:rPr>
          <w:color w:val="4D4D4D"/>
          <w:spacing w:val="-4"/>
          <w:sz w:val="21"/>
        </w:rPr>
        <w:t>N.V.</w:t>
      </w:r>
    </w:p>
    <w:p>
      <w:pPr>
        <w:pStyle w:val="Heading2"/>
        <w:spacing w:before="197"/>
      </w:pPr>
      <w:r>
        <w:rPr>
          <w:sz w:val="15"/>
        </w:rPr>
        <w:t>Artikel</w:t>
      </w:r>
      <w:r>
        <w:rPr>
          <w:sz w:val="15"/>
        </w:rPr>
        <w:t xml:space="preserve"> 1 </w:t>
      </w:r>
      <w:r>
        <w:rPr>
          <w:sz w:val="15"/>
        </w:rPr>
        <w:t xml:space="preserve">– </w:t>
      </w:r>
      <w:r>
        <w:rPr>
          <w:spacing w:val="-2"/>
          <w:sz w:val="15"/>
        </w:rPr>
        <w:t>Allgemeines</w:t>
      </w:r>
    </w:p>
    <w:p>
      <w:pPr>
        <w:pStyle w:val="ListParagraph"/>
        <w:numPr>
          <w:ilvl w:val="1"/>
          <w:numId w:val="6"/>
        </w:numPr>
        <w:tabs>
          <w:tab w:val="left" w:pos="367"/>
          <w:tab w:val="left" w:pos="369"/>
        </w:tabs>
        <w:spacing w:before="0" w:after="0" w:line="240" w:lineRule="auto"/>
        <w:ind w:left="369" w:right="92" w:hanging="284"/>
        <w:jc w:val="left"/>
        <w:rPr>
          <w:sz w:val="16"/>
        </w:rPr>
      </w:pPr>
      <w:r>
        <w:rPr>
          <w:sz w:val="15"/>
        </w:rPr>
        <w:t xml:space="preserve">MannaertsAppels N.V. (im Folgenden: „MA“) ist eine nach </w:t>
      </w:r>
      <w:r>
        <w:rPr>
          <w:sz w:val="15"/>
        </w:rPr>
        <w:t xml:space="preserve">niederländischem </w:t>
      </w:r>
      <w:r>
        <w:rPr>
          <w:sz w:val="15"/>
        </w:rPr>
        <w:t xml:space="preserve">Recht </w:t>
      </w:r>
      <w:r>
        <w:rPr>
          <w:sz w:val="15"/>
        </w:rPr>
        <w:t xml:space="preserve">gegründete </w:t>
      </w:r>
      <w:r>
        <w:rPr>
          <w:sz w:val="15"/>
        </w:rPr>
        <w:t>Aktiengesellschaft</w:t>
      </w:r>
      <w:r>
        <w:rPr>
          <w:sz w:val="15"/>
        </w:rPr>
        <w:t xml:space="preserve">, deren </w:t>
      </w:r>
      <w:r>
        <w:rPr>
          <w:sz w:val="15"/>
        </w:rPr>
        <w:t xml:space="preserve">Zweck </w:t>
      </w:r>
      <w:r>
        <w:rPr>
          <w:sz w:val="15"/>
        </w:rPr>
        <w:t>die Ausübung der Anwaltschaft ist.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>
          <w:sz w:val="15"/>
        </w:rPr>
        <w:t>Artikel</w:t>
      </w:r>
      <w:r>
        <w:rPr>
          <w:sz w:val="15"/>
        </w:rPr>
        <w:t xml:space="preserve"> 2 </w:t>
      </w:r>
      <w:r>
        <w:rPr>
          <w:sz w:val="15"/>
        </w:rPr>
        <w:t xml:space="preserve">– </w:t>
      </w:r>
      <w:r>
        <w:rPr>
          <w:sz w:val="15"/>
        </w:rPr>
        <w:t xml:space="preserve">Anwendbarkeit </w:t>
      </w:r>
      <w:r>
        <w:rPr>
          <w:sz w:val="15"/>
        </w:rPr>
        <w:t xml:space="preserve">und </w:t>
      </w:r>
      <w:r>
        <w:rPr>
          <w:spacing w:val="-2"/>
          <w:sz w:val="15"/>
        </w:rPr>
        <w:t>Zustandekommen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65" w:hanging="284"/>
        <w:jc w:val="left"/>
        <w:rPr>
          <w:sz w:val="16"/>
        </w:rPr>
      </w:pPr>
      <w:r>
        <w:rPr>
          <w:sz w:val="15"/>
        </w:rPr>
        <w:t xml:space="preserve">Diese </w:t>
      </w:r>
      <w:r>
        <w:rPr>
          <w:sz w:val="15"/>
        </w:rPr>
        <w:t xml:space="preserve">Allgemeinen </w:t>
      </w:r>
      <w:r>
        <w:rPr>
          <w:sz w:val="15"/>
        </w:rPr>
        <w:t xml:space="preserve">Geschäftsbedingungen </w:t>
      </w:r>
      <w:r>
        <w:rPr>
          <w:sz w:val="15"/>
        </w:rPr>
        <w:t xml:space="preserve">gelten </w:t>
      </w:r>
      <w:r>
        <w:rPr>
          <w:sz w:val="15"/>
        </w:rPr>
        <w:t xml:space="preserve">unter </w:t>
      </w:r>
      <w:r>
        <w:rPr>
          <w:sz w:val="15"/>
        </w:rPr>
        <w:t>Aussch</w:t>
      </w:r>
      <w:r>
        <w:rPr>
          <w:sz w:val="15"/>
        </w:rPr>
        <w:t xml:space="preserve">luss </w:t>
      </w:r>
      <w:r>
        <w:rPr>
          <w:sz w:val="15"/>
        </w:rPr>
        <w:t xml:space="preserve">aller </w:t>
      </w:r>
      <w:r>
        <w:rPr>
          <w:sz w:val="15"/>
        </w:rPr>
        <w:t xml:space="preserve">anderen </w:t>
      </w:r>
      <w:r>
        <w:rPr>
          <w:sz w:val="15"/>
        </w:rPr>
        <w:t xml:space="preserve">Allgemeinen Geschäftsbedingungen für alle </w:t>
      </w:r>
      <w:r>
        <w:rPr>
          <w:sz w:val="15"/>
        </w:rPr>
        <w:t xml:space="preserve">Rechtsbeziehungen (einschließlich künftiger) zwischen </w:t>
      </w:r>
      <w:r>
        <w:rPr>
          <w:sz w:val="15"/>
        </w:rPr>
        <w:t>MA und dem Auftraggeber.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184" w:hanging="284"/>
        <w:jc w:val="left"/>
        <w:rPr>
          <w:sz w:val="16"/>
        </w:rPr>
      </w:pPr>
      <w:r>
        <w:rPr>
          <w:sz w:val="15"/>
        </w:rPr>
        <w:t xml:space="preserve">Diese </w:t>
      </w:r>
      <w:r>
        <w:rPr>
          <w:sz w:val="15"/>
        </w:rPr>
        <w:t xml:space="preserve">Allgemeinen </w:t>
      </w:r>
      <w:r>
        <w:rPr>
          <w:sz w:val="15"/>
        </w:rPr>
        <w:t xml:space="preserve">Geschäftsbedingungen </w:t>
      </w:r>
      <w:r>
        <w:rPr>
          <w:sz w:val="15"/>
        </w:rPr>
        <w:t xml:space="preserve">gelten </w:t>
      </w:r>
      <w:r>
        <w:rPr>
          <w:sz w:val="15"/>
        </w:rPr>
        <w:t xml:space="preserve">auch </w:t>
      </w:r>
      <w:r>
        <w:rPr>
          <w:sz w:val="15"/>
        </w:rPr>
        <w:t xml:space="preserve">zugunsten </w:t>
      </w:r>
      <w:r>
        <w:rPr>
          <w:sz w:val="15"/>
        </w:rPr>
        <w:t>der an der Ausführung des Auftrags beteiligten Personen.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217" w:hanging="284"/>
        <w:jc w:val="left"/>
        <w:rPr>
          <w:sz w:val="16"/>
        </w:rPr>
      </w:pPr>
      <w:r>
        <w:rPr>
          <w:sz w:val="15"/>
        </w:rPr>
        <w:t xml:space="preserve">Der </w:t>
      </w:r>
      <w:r>
        <w:rPr>
          <w:sz w:val="15"/>
        </w:rPr>
        <w:t xml:space="preserve">Vertrag </w:t>
      </w:r>
      <w:r>
        <w:rPr>
          <w:sz w:val="15"/>
        </w:rPr>
        <w:t xml:space="preserve">wird </w:t>
      </w:r>
      <w:r>
        <w:rPr>
          <w:sz w:val="15"/>
        </w:rPr>
        <w:t xml:space="preserve">auf </w:t>
      </w:r>
      <w:r>
        <w:rPr>
          <w:sz w:val="15"/>
        </w:rPr>
        <w:t xml:space="preserve">unbestimmte </w:t>
      </w:r>
      <w:r>
        <w:rPr>
          <w:sz w:val="15"/>
        </w:rPr>
        <w:t xml:space="preserve">Zeit </w:t>
      </w:r>
      <w:r>
        <w:rPr>
          <w:sz w:val="15"/>
        </w:rPr>
        <w:t>geschlossen</w:t>
      </w:r>
      <w:r>
        <w:rPr>
          <w:sz w:val="15"/>
        </w:rPr>
        <w:t xml:space="preserve">, </w:t>
      </w:r>
      <w:r>
        <w:rPr>
          <w:sz w:val="15"/>
        </w:rPr>
        <w:t xml:space="preserve">es sei denn, </w:t>
      </w:r>
      <w:r>
        <w:rPr>
          <w:sz w:val="15"/>
        </w:rPr>
        <w:t xml:space="preserve">aus dem Inhalt, der Art oder dem Umfang des erteilten Auftrags </w:t>
      </w:r>
      <w:r>
        <w:rPr>
          <w:sz w:val="15"/>
        </w:rPr>
        <w:t>geht hervor, dass dieser für eine bestimmte Zeit geschlossen wurde.</w:t>
      </w:r>
    </w:p>
    <w:p>
      <w:pPr>
        <w:pStyle w:val="ListParagraph"/>
        <w:numPr>
          <w:ilvl w:val="1"/>
          <w:numId w:val="5"/>
        </w:numPr>
        <w:tabs>
          <w:tab w:val="left" w:pos="367"/>
          <w:tab w:val="left" w:pos="369"/>
        </w:tabs>
        <w:spacing w:before="0" w:after="0" w:line="240" w:lineRule="auto"/>
        <w:ind w:left="369" w:right="62" w:hanging="284"/>
        <w:jc w:val="left"/>
        <w:rPr>
          <w:sz w:val="16"/>
        </w:rPr>
      </w:pPr>
      <w:r>
        <w:rPr>
          <w:sz w:val="15"/>
        </w:rPr>
        <w:t xml:space="preserve">Zur Erfüllung der </w:t>
      </w:r>
      <w:r>
        <w:rPr>
          <w:sz w:val="15"/>
        </w:rPr>
        <w:t>Bestimmungen</w:t>
      </w:r>
      <w:r>
        <w:rPr>
          <w:sz w:val="15"/>
        </w:rPr>
        <w:t xml:space="preserve"> des Gesetzes zur Verhinderung von Geldwäsche </w:t>
      </w:r>
      <w:r>
        <w:rPr>
          <w:sz w:val="15"/>
        </w:rPr>
        <w:t xml:space="preserve">und Terrorismusfinanzierung (Wwft) und der Verordnung über die </w:t>
      </w:r>
      <w:r>
        <w:rPr>
          <w:sz w:val="15"/>
        </w:rPr>
        <w:t xml:space="preserve">Anwaltschaft </w:t>
      </w:r>
      <w:r>
        <w:rPr>
          <w:sz w:val="15"/>
        </w:rPr>
        <w:t xml:space="preserve">ist </w:t>
      </w:r>
      <w:r>
        <w:rPr>
          <w:sz w:val="15"/>
        </w:rPr>
        <w:t xml:space="preserve">der </w:t>
      </w:r>
      <w:r>
        <w:rPr>
          <w:sz w:val="15"/>
        </w:rPr>
        <w:t xml:space="preserve">Auftraggeber </w:t>
      </w:r>
      <w:r>
        <w:rPr>
          <w:sz w:val="15"/>
        </w:rPr>
        <w:t>verpflichtet</w:t>
      </w:r>
      <w:r>
        <w:rPr>
          <w:sz w:val="15"/>
        </w:rPr>
        <w:t xml:space="preserve">, </w:t>
      </w:r>
      <w:r>
        <w:rPr>
          <w:sz w:val="15"/>
        </w:rPr>
        <w:t xml:space="preserve">sich </w:t>
      </w:r>
      <w:r>
        <w:rPr>
          <w:sz w:val="15"/>
        </w:rPr>
        <w:t xml:space="preserve">bei </w:t>
      </w:r>
      <w:r>
        <w:rPr>
          <w:sz w:val="15"/>
        </w:rPr>
        <w:t xml:space="preserve">Erteilung des Auftrags oder unverzüglich auf erstes Aufforderung </w:t>
      </w:r>
      <w:r>
        <w:rPr>
          <w:sz w:val="15"/>
        </w:rPr>
        <w:t>hin mit einem gültigen Ausweisdokument auszuweisen.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5"/>
        </w:rPr>
        <w:t>Artikel</w:t>
      </w:r>
      <w:r>
        <w:rPr>
          <w:sz w:val="15"/>
        </w:rPr>
        <w:t xml:space="preserve"> 3 </w:t>
      </w:r>
      <w:r>
        <w:rPr>
          <w:sz w:val="15"/>
        </w:rPr>
        <w:t xml:space="preserve">– </w:t>
      </w:r>
      <w:r>
        <w:rPr>
          <w:sz w:val="15"/>
        </w:rPr>
        <w:t xml:space="preserve">Annahme </w:t>
      </w:r>
      <w:r>
        <w:rPr>
          <w:sz w:val="15"/>
        </w:rPr>
        <w:t xml:space="preserve">und </w:t>
      </w:r>
      <w:r>
        <w:rPr>
          <w:sz w:val="15"/>
        </w:rPr>
        <w:t xml:space="preserve">Ausführung </w:t>
      </w:r>
      <w:r>
        <w:rPr>
          <w:spacing w:val="-2"/>
          <w:sz w:val="15"/>
        </w:rPr>
        <w:t>des Auftrags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38" w:hanging="284"/>
        <w:jc w:val="left"/>
        <w:rPr>
          <w:sz w:val="16"/>
        </w:rPr>
      </w:pPr>
      <w:r>
        <w:rPr>
          <w:sz w:val="15"/>
        </w:rPr>
        <w:t xml:space="preserve">Alle </w:t>
      </w:r>
      <w:r>
        <w:rPr>
          <w:sz w:val="15"/>
        </w:rPr>
        <w:t xml:space="preserve">Aufträge </w:t>
      </w:r>
      <w:r>
        <w:rPr>
          <w:sz w:val="15"/>
        </w:rPr>
        <w:t xml:space="preserve">gelten </w:t>
      </w:r>
      <w:r>
        <w:rPr>
          <w:sz w:val="15"/>
        </w:rPr>
        <w:t xml:space="preserve">als </w:t>
      </w:r>
      <w:r>
        <w:rPr>
          <w:sz w:val="15"/>
        </w:rPr>
        <w:t xml:space="preserve">ausschließlich </w:t>
      </w:r>
      <w:r>
        <w:rPr>
          <w:sz w:val="15"/>
        </w:rPr>
        <w:t xml:space="preserve">an </w:t>
      </w:r>
      <w:r>
        <w:rPr>
          <w:sz w:val="15"/>
        </w:rPr>
        <w:t xml:space="preserve">MA </w:t>
      </w:r>
      <w:r>
        <w:rPr>
          <w:sz w:val="15"/>
        </w:rPr>
        <w:t>erteilt</w:t>
      </w:r>
      <w:r>
        <w:rPr>
          <w:sz w:val="15"/>
        </w:rPr>
        <w:t xml:space="preserve">, </w:t>
      </w:r>
      <w:r>
        <w:rPr>
          <w:sz w:val="15"/>
        </w:rPr>
        <w:t xml:space="preserve">und </w:t>
      </w:r>
      <w:r>
        <w:rPr>
          <w:sz w:val="15"/>
        </w:rPr>
        <w:t xml:space="preserve">der Auftragsvertrag wird ausschließlich mit </w:t>
      </w:r>
      <w:r>
        <w:rPr>
          <w:sz w:val="15"/>
        </w:rPr>
        <w:t>MA</w:t>
      </w:r>
      <w:r>
        <w:rPr>
          <w:sz w:val="15"/>
        </w:rPr>
        <w:t xml:space="preserve"> geschlossen</w:t>
      </w:r>
      <w:r>
        <w:rPr>
          <w:sz w:val="15"/>
        </w:rPr>
        <w:t xml:space="preserve">, auch wenn es die ausdrückliche oder stillschweigende Absicht </w:t>
      </w:r>
      <w:r>
        <w:rPr>
          <w:sz w:val="15"/>
        </w:rPr>
        <w:t xml:space="preserve">des Auftraggebers ist, dass ein Auftrag von einer oder mehreren bestimmten </w:t>
      </w:r>
      <w:r>
        <w:rPr>
          <w:sz w:val="15"/>
        </w:rPr>
        <w:t xml:space="preserve">Personen </w:t>
      </w:r>
      <w:r>
        <w:rPr>
          <w:sz w:val="15"/>
        </w:rPr>
        <w:t xml:space="preserve">ausgeführt </w:t>
      </w:r>
      <w:r>
        <w:rPr>
          <w:sz w:val="15"/>
        </w:rPr>
        <w:t>wird</w:t>
      </w:r>
      <w:r>
        <w:rPr>
          <w:sz w:val="15"/>
        </w:rPr>
        <w:t xml:space="preserve">. </w:t>
      </w:r>
      <w:r>
        <w:rPr>
          <w:sz w:val="15"/>
        </w:rPr>
        <w:t xml:space="preserve">Die </w:t>
      </w:r>
      <w:r>
        <w:rPr>
          <w:sz w:val="15"/>
        </w:rPr>
        <w:t xml:space="preserve">Anwendung </w:t>
      </w:r>
      <w:r>
        <w:rPr>
          <w:sz w:val="15"/>
        </w:rPr>
        <w:t xml:space="preserve">der </w:t>
      </w:r>
      <w:r>
        <w:rPr>
          <w:sz w:val="15"/>
        </w:rPr>
        <w:t>Artikel</w:t>
      </w:r>
      <w:r>
        <w:rPr>
          <w:sz w:val="15"/>
        </w:rPr>
        <w:t xml:space="preserve"> 7:404 </w:t>
      </w:r>
      <w:r>
        <w:rPr>
          <w:sz w:val="15"/>
        </w:rPr>
        <w:t>und</w:t>
      </w:r>
      <w:r>
        <w:rPr>
          <w:sz w:val="15"/>
        </w:rPr>
        <w:t xml:space="preserve"> 7:407 </w:t>
      </w:r>
      <w:r>
        <w:rPr>
          <w:sz w:val="15"/>
        </w:rPr>
        <w:t>Absatz 2 des niederländischen Bürgerlichen Gesetzbuchs (BW) wird ausdrücklich ausgeschlossen.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07" w:hanging="284"/>
        <w:jc w:val="left"/>
        <w:rPr>
          <w:sz w:val="16"/>
        </w:rPr>
      </w:pPr>
      <w:r>
        <w:rPr>
          <w:sz w:val="15"/>
        </w:rPr>
        <w:t xml:space="preserve">Unbeschadet der sonstigen gesetzlichen Bestimmungen kann MA den </w:t>
      </w:r>
      <w:r>
        <w:rPr>
          <w:sz w:val="15"/>
        </w:rPr>
        <w:t xml:space="preserve">Vertrag </w:t>
      </w:r>
      <w:r>
        <w:rPr>
          <w:sz w:val="15"/>
        </w:rPr>
        <w:t xml:space="preserve">jederzeit </w:t>
      </w:r>
      <w:r>
        <w:rPr>
          <w:sz w:val="15"/>
        </w:rPr>
        <w:t xml:space="preserve">durch </w:t>
      </w:r>
      <w:r>
        <w:rPr>
          <w:sz w:val="15"/>
        </w:rPr>
        <w:t xml:space="preserve">Kündigung </w:t>
      </w:r>
      <w:r>
        <w:rPr>
          <w:sz w:val="15"/>
        </w:rPr>
        <w:t xml:space="preserve">beenden, </w:t>
      </w:r>
      <w:r>
        <w:rPr>
          <w:sz w:val="15"/>
        </w:rPr>
        <w:t xml:space="preserve">sofern </w:t>
      </w:r>
      <w:r>
        <w:rPr>
          <w:sz w:val="15"/>
        </w:rPr>
        <w:t xml:space="preserve">dies unter Einhaltung einer den </w:t>
      </w:r>
      <w:r>
        <w:rPr>
          <w:sz w:val="15"/>
        </w:rPr>
        <w:t xml:space="preserve">Umständen </w:t>
      </w:r>
      <w:r>
        <w:rPr>
          <w:sz w:val="15"/>
        </w:rPr>
        <w:t xml:space="preserve">entsprechenden </w:t>
      </w:r>
      <w:r>
        <w:rPr>
          <w:sz w:val="15"/>
        </w:rPr>
        <w:t xml:space="preserve">angemessenen Frist </w:t>
      </w:r>
      <w:r>
        <w:rPr>
          <w:sz w:val="15"/>
        </w:rPr>
        <w:t>erfolgt</w:t>
      </w:r>
      <w:r>
        <w:rPr>
          <w:sz w:val="15"/>
        </w:rPr>
        <w:t>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44" w:hanging="284"/>
        <w:jc w:val="left"/>
        <w:rPr>
          <w:sz w:val="16"/>
        </w:rPr>
      </w:pPr>
      <w:r>
        <w:rPr>
          <w:sz w:val="15"/>
        </w:rPr>
        <w:t xml:space="preserve">Der Auftraggeber ist bei Beendigung des Vertrags </w:t>
      </w:r>
      <w:r>
        <w:rPr>
          <w:sz w:val="15"/>
        </w:rPr>
        <w:t xml:space="preserve">verpflichtet, </w:t>
      </w:r>
      <w:r>
        <w:rPr>
          <w:sz w:val="15"/>
        </w:rPr>
        <w:t xml:space="preserve">die </w:t>
      </w:r>
      <w:r>
        <w:rPr>
          <w:sz w:val="15"/>
        </w:rPr>
        <w:t xml:space="preserve">Vergütung </w:t>
      </w:r>
      <w:r>
        <w:rPr>
          <w:sz w:val="15"/>
        </w:rPr>
        <w:t xml:space="preserve">für </w:t>
      </w:r>
      <w:r>
        <w:rPr>
          <w:sz w:val="15"/>
        </w:rPr>
        <w:t xml:space="preserve">die </w:t>
      </w:r>
      <w:r>
        <w:rPr>
          <w:sz w:val="15"/>
        </w:rPr>
        <w:t xml:space="preserve">bis </w:t>
      </w:r>
      <w:r>
        <w:rPr>
          <w:sz w:val="15"/>
        </w:rPr>
        <w:t xml:space="preserve">zum </w:t>
      </w:r>
      <w:r>
        <w:rPr>
          <w:sz w:val="15"/>
        </w:rPr>
        <w:t xml:space="preserve">Zeitpunkt </w:t>
      </w:r>
      <w:r>
        <w:rPr>
          <w:sz w:val="15"/>
        </w:rPr>
        <w:t xml:space="preserve">der </w:t>
      </w:r>
      <w:r>
        <w:rPr>
          <w:sz w:val="15"/>
        </w:rPr>
        <w:t xml:space="preserve">Beendigung erbrachten Leistungen </w:t>
      </w:r>
      <w:r>
        <w:rPr>
          <w:sz w:val="15"/>
        </w:rPr>
        <w:t xml:space="preserve">zu </w:t>
      </w:r>
      <w:r>
        <w:rPr>
          <w:sz w:val="15"/>
        </w:rPr>
        <w:t>zahlen</w:t>
      </w:r>
      <w:r>
        <w:rPr>
          <w:sz w:val="15"/>
        </w:rPr>
        <w:t>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233" w:hanging="284"/>
        <w:jc w:val="left"/>
        <w:rPr>
          <w:sz w:val="16"/>
        </w:rPr>
      </w:pPr>
      <w:r>
        <w:rPr>
          <w:sz w:val="15"/>
        </w:rPr>
        <w:t xml:space="preserve">MA führt Aufträge ausschließlich zugunsten des </w:t>
      </w:r>
      <w:r>
        <w:rPr>
          <w:sz w:val="15"/>
        </w:rPr>
        <w:t xml:space="preserve">Auftraggebers </w:t>
      </w:r>
      <w:r>
        <w:rPr>
          <w:sz w:val="15"/>
        </w:rPr>
        <w:t>aus</w:t>
      </w:r>
      <w:r>
        <w:rPr>
          <w:sz w:val="15"/>
        </w:rPr>
        <w:t xml:space="preserve">. </w:t>
      </w:r>
      <w:r>
        <w:rPr>
          <w:sz w:val="15"/>
        </w:rPr>
        <w:t xml:space="preserve">Dritte </w:t>
      </w:r>
      <w:r>
        <w:rPr>
          <w:sz w:val="15"/>
        </w:rPr>
        <w:t xml:space="preserve">können </w:t>
      </w:r>
      <w:r>
        <w:rPr>
          <w:sz w:val="15"/>
        </w:rPr>
        <w:t xml:space="preserve">hieraus </w:t>
      </w:r>
      <w:r>
        <w:rPr>
          <w:sz w:val="15"/>
        </w:rPr>
        <w:t xml:space="preserve">keine </w:t>
      </w:r>
      <w:r>
        <w:rPr>
          <w:sz w:val="15"/>
        </w:rPr>
        <w:t xml:space="preserve">Rechte </w:t>
      </w:r>
      <w:r>
        <w:rPr>
          <w:sz w:val="15"/>
        </w:rPr>
        <w:t>ableiten.</w:t>
      </w:r>
    </w:p>
    <w:p>
      <w:pPr>
        <w:pStyle w:val="ListParagraph"/>
        <w:numPr>
          <w:ilvl w:val="1"/>
          <w:numId w:val="4"/>
        </w:numPr>
        <w:tabs>
          <w:tab w:val="left" w:pos="367"/>
          <w:tab w:val="left" w:pos="369"/>
        </w:tabs>
        <w:spacing w:before="0" w:after="0" w:line="240" w:lineRule="auto"/>
        <w:ind w:left="369" w:right="130" w:hanging="284"/>
        <w:jc w:val="left"/>
        <w:rPr>
          <w:sz w:val="16"/>
        </w:rPr>
      </w:pPr>
      <w:r>
        <w:rPr>
          <w:sz w:val="15"/>
        </w:rPr>
        <w:t>W</w:t>
      </w:r>
      <w:r>
        <w:rPr>
          <w:sz w:val="15"/>
        </w:rPr>
        <w:t xml:space="preserve">urde der Auftrag </w:t>
      </w:r>
      <w:r>
        <w:rPr>
          <w:sz w:val="15"/>
        </w:rPr>
        <w:t xml:space="preserve">von mehreren Auftraggebern </w:t>
      </w:r>
      <w:r>
        <w:rPr>
          <w:sz w:val="15"/>
        </w:rPr>
        <w:t xml:space="preserve">erteilt und der Vertrag mit MA </w:t>
      </w:r>
      <w:r>
        <w:rPr>
          <w:sz w:val="15"/>
        </w:rPr>
        <w:t xml:space="preserve">geschlossen, </w:t>
      </w:r>
      <w:r>
        <w:rPr>
          <w:sz w:val="15"/>
        </w:rPr>
        <w:t>haften</w:t>
      </w:r>
      <w:r>
        <w:rPr>
          <w:sz w:val="15"/>
        </w:rPr>
        <w:t xml:space="preserve"> alle </w:t>
      </w:r>
      <w:r>
        <w:rPr>
          <w:sz w:val="15"/>
        </w:rPr>
        <w:t xml:space="preserve">Auftraggeber </w:t>
      </w:r>
      <w:r>
        <w:rPr>
          <w:sz w:val="15"/>
        </w:rPr>
        <w:t xml:space="preserve">gesamtschuldnerisch </w:t>
      </w:r>
      <w:r>
        <w:rPr>
          <w:sz w:val="15"/>
        </w:rPr>
        <w:t xml:space="preserve">für </w:t>
      </w:r>
      <w:r>
        <w:rPr>
          <w:sz w:val="15"/>
        </w:rPr>
        <w:t xml:space="preserve">die </w:t>
      </w:r>
      <w:r>
        <w:rPr>
          <w:sz w:val="15"/>
        </w:rPr>
        <w:t xml:space="preserve">Zahlungsverpflichtungen </w:t>
      </w:r>
      <w:r>
        <w:rPr>
          <w:sz w:val="15"/>
        </w:rPr>
        <w:t xml:space="preserve">gegenüber </w:t>
      </w:r>
      <w:r>
        <w:rPr>
          <w:sz w:val="15"/>
        </w:rPr>
        <w:t>MA</w:t>
      </w:r>
      <w:r>
        <w:rPr>
          <w:sz w:val="15"/>
        </w:rPr>
        <w:t xml:space="preserve">, </w:t>
      </w:r>
      <w:r>
        <w:rPr>
          <w:sz w:val="15"/>
        </w:rPr>
        <w:t xml:space="preserve">die </w:t>
      </w:r>
      <w:r>
        <w:rPr>
          <w:sz w:val="15"/>
        </w:rPr>
        <w:t xml:space="preserve">sich </w:t>
      </w:r>
      <w:r>
        <w:rPr>
          <w:sz w:val="15"/>
        </w:rPr>
        <w:t xml:space="preserve">aus </w:t>
      </w:r>
      <w:r>
        <w:rPr>
          <w:sz w:val="15"/>
        </w:rPr>
        <w:t xml:space="preserve">diesem </w:t>
      </w:r>
      <w:r>
        <w:rPr>
          <w:sz w:val="15"/>
        </w:rPr>
        <w:t>Auftrag bzw. diesem Vertrag ergeben.</w:t>
      </w:r>
    </w:p>
    <w:p>
      <w:pPr>
        <w:pStyle w:val="Heading2"/>
        <w:spacing w:before="195"/>
      </w:pPr>
      <w:r>
        <w:rPr>
          <w:sz w:val="15"/>
        </w:rPr>
        <w:t>Artikel</w:t>
      </w:r>
      <w:r>
        <w:rPr>
          <w:sz w:val="15"/>
        </w:rPr>
        <w:t xml:space="preserve"> 4 </w:t>
      </w:r>
      <w:r>
        <w:rPr>
          <w:sz w:val="15"/>
        </w:rPr>
        <w:t xml:space="preserve">– </w:t>
      </w:r>
      <w:r>
        <w:rPr>
          <w:sz w:val="15"/>
        </w:rPr>
        <w:t xml:space="preserve">Haftung </w:t>
      </w:r>
      <w:r>
        <w:rPr>
          <w:sz w:val="15"/>
        </w:rPr>
        <w:t xml:space="preserve">und </w:t>
      </w:r>
      <w:r>
        <w:rPr>
          <w:spacing w:val="-2"/>
          <w:sz w:val="15"/>
        </w:rPr>
        <w:t>Freistellung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40" w:hanging="284"/>
        <w:jc w:val="left"/>
        <w:rPr>
          <w:sz w:val="16"/>
        </w:rPr>
      </w:pPr>
      <w:r>
        <w:rPr>
          <w:sz w:val="15"/>
        </w:rPr>
        <w:t xml:space="preserve">Sollte bei der Ausführung eines Auftrags, </w:t>
      </w:r>
      <w:r>
        <w:rPr>
          <w:sz w:val="15"/>
        </w:rPr>
        <w:t xml:space="preserve">wozu auch </w:t>
      </w:r>
      <w:r>
        <w:rPr>
          <w:sz w:val="15"/>
        </w:rPr>
        <w:t>die</w:t>
      </w:r>
      <w:r>
        <w:rPr>
          <w:sz w:val="15"/>
        </w:rPr>
        <w:t xml:space="preserve"> nicht, nicht rechtzeitige oder nicht vollständige </w:t>
      </w:r>
      <w:r>
        <w:rPr>
          <w:sz w:val="15"/>
        </w:rPr>
        <w:t xml:space="preserve">Ausführung </w:t>
      </w:r>
      <w:r>
        <w:rPr>
          <w:sz w:val="15"/>
        </w:rPr>
        <w:t>gehört</w:t>
      </w:r>
      <w:r>
        <w:rPr>
          <w:sz w:val="15"/>
        </w:rPr>
        <w:t xml:space="preserve">, </w:t>
      </w:r>
      <w:r>
        <w:rPr>
          <w:sz w:val="15"/>
        </w:rPr>
        <w:t xml:space="preserve">ein </w:t>
      </w:r>
      <w:r>
        <w:rPr>
          <w:sz w:val="15"/>
        </w:rPr>
        <w:t xml:space="preserve">Ereignis </w:t>
      </w:r>
      <w:r>
        <w:rPr>
          <w:sz w:val="15"/>
        </w:rPr>
        <w:t>eintreten</w:t>
      </w:r>
      <w:r>
        <w:rPr>
          <w:sz w:val="15"/>
        </w:rPr>
        <w:t>,</w:t>
      </w:r>
      <w:r>
        <w:rPr>
          <w:sz w:val="15"/>
        </w:rPr>
        <w:t xml:space="preserve"> das </w:t>
      </w:r>
      <w:r>
        <w:rPr>
          <w:sz w:val="15"/>
        </w:rPr>
        <w:t xml:space="preserve">zu </w:t>
      </w:r>
      <w:r>
        <w:rPr>
          <w:sz w:val="15"/>
        </w:rPr>
        <w:t xml:space="preserve">einer Haftung </w:t>
      </w:r>
      <w:r>
        <w:rPr>
          <w:sz w:val="15"/>
        </w:rPr>
        <w:t xml:space="preserve">von MA oder der an der Ausführung des Auftrags beteiligten </w:t>
      </w:r>
      <w:r>
        <w:rPr>
          <w:sz w:val="15"/>
        </w:rPr>
        <w:t xml:space="preserve">Personen </w:t>
      </w:r>
      <w:r>
        <w:rPr>
          <w:sz w:val="15"/>
        </w:rPr>
        <w:t xml:space="preserve">führt, </w:t>
      </w:r>
      <w:r>
        <w:rPr>
          <w:sz w:val="15"/>
        </w:rPr>
        <w:t xml:space="preserve">so </w:t>
      </w:r>
      <w:r>
        <w:rPr>
          <w:sz w:val="15"/>
        </w:rPr>
        <w:t xml:space="preserve">ist </w:t>
      </w:r>
      <w:r>
        <w:rPr>
          <w:sz w:val="15"/>
        </w:rPr>
        <w:t xml:space="preserve">die </w:t>
      </w:r>
      <w:r>
        <w:rPr>
          <w:sz w:val="15"/>
        </w:rPr>
        <w:t xml:space="preserve">Haftung </w:t>
      </w:r>
      <w:r>
        <w:rPr>
          <w:sz w:val="15"/>
        </w:rPr>
        <w:t xml:space="preserve">auf </w:t>
      </w:r>
      <w:r>
        <w:rPr>
          <w:sz w:val="15"/>
        </w:rPr>
        <w:t xml:space="preserve">den </w:t>
      </w:r>
      <w:r>
        <w:rPr>
          <w:sz w:val="15"/>
        </w:rPr>
        <w:t xml:space="preserve">Betrag </w:t>
      </w:r>
      <w:r>
        <w:rPr>
          <w:sz w:val="15"/>
        </w:rPr>
        <w:t>begrenzt</w:t>
      </w:r>
      <w:r>
        <w:rPr>
          <w:sz w:val="15"/>
        </w:rPr>
        <w:t xml:space="preserve">, </w:t>
      </w:r>
      <w:r>
        <w:rPr>
          <w:sz w:val="15"/>
        </w:rPr>
        <w:t xml:space="preserve">auf den die von MA abgeschlossene </w:t>
      </w:r>
      <w:r>
        <w:rPr>
          <w:sz w:val="15"/>
        </w:rPr>
        <w:t xml:space="preserve">Berufshaftpflichtversicherung Anspruch gewährt, </w:t>
      </w:r>
      <w:r>
        <w:rPr>
          <w:sz w:val="15"/>
        </w:rPr>
        <w:t xml:space="preserve">zuzüglich der diesbezüglich geltenden Selbstbeteiligung. MA und die an </w:t>
      </w:r>
      <w:r>
        <w:rPr>
          <w:sz w:val="15"/>
        </w:rPr>
        <w:t xml:space="preserve">der </w:t>
      </w:r>
      <w:r>
        <w:rPr>
          <w:sz w:val="15"/>
        </w:rPr>
        <w:t xml:space="preserve">Ausführung </w:t>
      </w:r>
      <w:r>
        <w:rPr>
          <w:sz w:val="15"/>
        </w:rPr>
        <w:t xml:space="preserve">des </w:t>
      </w:r>
      <w:r>
        <w:rPr>
          <w:sz w:val="15"/>
        </w:rPr>
        <w:t xml:space="preserve">Auftrags </w:t>
      </w:r>
      <w:r>
        <w:rPr>
          <w:sz w:val="15"/>
        </w:rPr>
        <w:t xml:space="preserve">beteiligten </w:t>
      </w:r>
      <w:r>
        <w:rPr>
          <w:sz w:val="15"/>
        </w:rPr>
        <w:t xml:space="preserve">Personen </w:t>
      </w:r>
      <w:r>
        <w:rPr>
          <w:sz w:val="15"/>
        </w:rPr>
        <w:t xml:space="preserve">haften </w:t>
      </w:r>
      <w:r>
        <w:rPr>
          <w:sz w:val="15"/>
        </w:rPr>
        <w:t xml:space="preserve">jedoch </w:t>
      </w:r>
      <w:r>
        <w:rPr>
          <w:sz w:val="15"/>
        </w:rPr>
        <w:t xml:space="preserve">nicht </w:t>
      </w:r>
      <w:r>
        <w:rPr>
          <w:sz w:val="15"/>
        </w:rPr>
        <w:t>für den Ersatz von Schäden</w:t>
      </w:r>
      <w:r>
        <w:rPr>
          <w:sz w:val="15"/>
        </w:rPr>
        <w:t>,</w:t>
      </w:r>
      <w:r>
        <w:rPr>
          <w:sz w:val="15"/>
        </w:rPr>
        <w:t xml:space="preserve"> wenn der </w:t>
      </w:r>
      <w:r>
        <w:rPr>
          <w:sz w:val="15"/>
        </w:rPr>
        <w:t xml:space="preserve">Auftraggeber zum Zeitpunkt </w:t>
      </w:r>
      <w:r>
        <w:rPr>
          <w:sz w:val="15"/>
        </w:rPr>
        <w:t>des Eintritts</w:t>
      </w:r>
      <w:r>
        <w:rPr>
          <w:sz w:val="15"/>
        </w:rPr>
        <w:t xml:space="preserve"> des vorgenannten </w:t>
      </w:r>
      <w:r>
        <w:rPr>
          <w:sz w:val="15"/>
        </w:rPr>
        <w:t xml:space="preserve">Ereignisses mit der Erfüllung </w:t>
      </w:r>
      <w:r>
        <w:rPr>
          <w:sz w:val="15"/>
        </w:rPr>
        <w:t xml:space="preserve">einer Verpflichtung gegenüber MA </w:t>
      </w:r>
      <w:r>
        <w:rPr>
          <w:sz w:val="15"/>
        </w:rPr>
        <w:t>in Verzug ist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55" w:hanging="284"/>
        <w:jc w:val="left"/>
        <w:rPr>
          <w:sz w:val="16"/>
        </w:rPr>
      </w:pPr>
      <w:r>
        <w:rPr>
          <w:sz w:val="15"/>
        </w:rPr>
        <w:t xml:space="preserve">Sollte der vorgenannte Versicherer in irgendeinem Fall keine </w:t>
      </w:r>
      <w:r>
        <w:rPr>
          <w:sz w:val="15"/>
        </w:rPr>
        <w:t xml:space="preserve">Leistung erbringen, ist die Haftung von MA oder der an der </w:t>
      </w:r>
      <w:r>
        <w:rPr>
          <w:sz w:val="15"/>
        </w:rPr>
        <w:t xml:space="preserve">Ausführung </w:t>
      </w:r>
      <w:r>
        <w:rPr>
          <w:sz w:val="15"/>
        </w:rPr>
        <w:t xml:space="preserve">des </w:t>
      </w:r>
      <w:r>
        <w:rPr>
          <w:sz w:val="15"/>
        </w:rPr>
        <w:t xml:space="preserve">Auftrags </w:t>
      </w:r>
      <w:r>
        <w:rPr>
          <w:sz w:val="15"/>
        </w:rPr>
        <w:t xml:space="preserve">beteiligten </w:t>
      </w:r>
      <w:r>
        <w:rPr>
          <w:sz w:val="15"/>
        </w:rPr>
        <w:t xml:space="preserve">Personen </w:t>
      </w:r>
      <w:r>
        <w:rPr>
          <w:sz w:val="15"/>
        </w:rPr>
        <w:t xml:space="preserve">für </w:t>
      </w:r>
      <w:r>
        <w:rPr>
          <w:sz w:val="15"/>
        </w:rPr>
        <w:t xml:space="preserve">alle </w:t>
      </w:r>
      <w:r>
        <w:rPr>
          <w:sz w:val="15"/>
        </w:rPr>
        <w:t xml:space="preserve">entstandenen </w:t>
      </w:r>
      <w:r>
        <w:rPr>
          <w:sz w:val="15"/>
        </w:rPr>
        <w:t>Schäden</w:t>
      </w:r>
      <w:r>
        <w:rPr>
          <w:sz w:val="15"/>
        </w:rPr>
        <w:t>, einschließlich Folgeschäden, ausdrücklich</w:t>
      </w:r>
    </w:p>
    <w:p>
      <w:pPr>
        <w:pStyle w:val="BodyText"/>
        <w:spacing w:before="1"/>
        <w:ind w:right="53" w:firstLine="0"/>
        <w:jc w:val="both"/>
      </w:pPr>
      <w:r>
        <w:rPr>
          <w:sz w:val="15"/>
        </w:rPr>
        <w:t xml:space="preserve">, </w:t>
      </w:r>
      <w:r>
        <w:rPr>
          <w:sz w:val="15"/>
        </w:rPr>
        <w:t xml:space="preserve">ausdrücklich </w:t>
      </w:r>
      <w:r>
        <w:rPr>
          <w:sz w:val="15"/>
        </w:rPr>
        <w:t xml:space="preserve">auf </w:t>
      </w:r>
      <w:r>
        <w:rPr>
          <w:sz w:val="15"/>
        </w:rPr>
        <w:t>maximal</w:t>
      </w:r>
      <w:r>
        <w:rPr>
          <w:sz w:val="15"/>
        </w:rPr>
        <w:t xml:space="preserve"> 15.000 </w:t>
      </w:r>
      <w:r>
        <w:rPr>
          <w:sz w:val="15"/>
        </w:rPr>
        <w:t xml:space="preserve">€ </w:t>
      </w:r>
      <w:r>
        <w:rPr>
          <w:sz w:val="15"/>
        </w:rPr>
        <w:t xml:space="preserve">begrenzt </w:t>
      </w:r>
      <w:r>
        <w:rPr>
          <w:sz w:val="15"/>
        </w:rPr>
        <w:t xml:space="preserve">oder, </w:t>
      </w:r>
      <w:r>
        <w:rPr>
          <w:sz w:val="15"/>
        </w:rPr>
        <w:t xml:space="preserve">falls </w:t>
      </w:r>
      <w:r>
        <w:rPr>
          <w:sz w:val="15"/>
        </w:rPr>
        <w:t xml:space="preserve">das </w:t>
      </w:r>
      <w:r>
        <w:rPr>
          <w:sz w:val="15"/>
        </w:rPr>
        <w:t>Honorar</w:t>
      </w:r>
      <w:r>
        <w:rPr>
          <w:sz w:val="15"/>
        </w:rPr>
        <w:t xml:space="preserve">, </w:t>
      </w:r>
      <w:r>
        <w:rPr>
          <w:sz w:val="15"/>
        </w:rPr>
        <w:t xml:space="preserve">das </w:t>
      </w:r>
      <w:r>
        <w:rPr>
          <w:sz w:val="15"/>
        </w:rPr>
        <w:t xml:space="preserve">MA dem Auftraggeber </w:t>
      </w:r>
      <w:r>
        <w:rPr>
          <w:sz w:val="15"/>
        </w:rPr>
        <w:t xml:space="preserve">für </w:t>
      </w:r>
      <w:r>
        <w:rPr>
          <w:sz w:val="15"/>
        </w:rPr>
        <w:t xml:space="preserve">die </w:t>
      </w:r>
      <w:r>
        <w:rPr>
          <w:sz w:val="15"/>
        </w:rPr>
        <w:t xml:space="preserve">Tätigkeiten, </w:t>
      </w:r>
      <w:r>
        <w:rPr>
          <w:sz w:val="15"/>
        </w:rPr>
        <w:t xml:space="preserve">im </w:t>
      </w:r>
      <w:r>
        <w:rPr>
          <w:sz w:val="15"/>
        </w:rPr>
        <w:t xml:space="preserve">Zusammenhang </w:t>
      </w:r>
      <w:r>
        <w:rPr>
          <w:sz w:val="15"/>
        </w:rPr>
        <w:t xml:space="preserve">mit </w:t>
      </w:r>
      <w:r>
        <w:rPr>
          <w:sz w:val="15"/>
        </w:rPr>
        <w:t>denen der Schaden entstanden ist,</w:t>
      </w:r>
    </w:p>
    <w:p>
      <w:pPr>
        <w:pStyle w:val="BodyText"/>
        <w:ind w:right="288" w:firstLine="0"/>
        <w:jc w:val="both"/>
      </w:pPr>
      <w:r>
        <w:rPr>
          <w:sz w:val="15"/>
        </w:rPr>
        <w:t>in Rechnung gestellt wurde</w:t>
      </w:r>
      <w:r>
        <w:rPr>
          <w:sz w:val="15"/>
        </w:rPr>
        <w:t xml:space="preserve">, </w:t>
      </w:r>
      <w:r>
        <w:rPr>
          <w:sz w:val="15"/>
        </w:rPr>
        <w:t xml:space="preserve">höher </w:t>
      </w:r>
      <w:r>
        <w:rPr>
          <w:sz w:val="15"/>
        </w:rPr>
        <w:t xml:space="preserve">ist </w:t>
      </w:r>
      <w:r>
        <w:rPr>
          <w:sz w:val="15"/>
        </w:rPr>
        <w:t>als</w:t>
      </w:r>
      <w:r>
        <w:rPr>
          <w:sz w:val="15"/>
        </w:rPr>
        <w:t xml:space="preserve"> 15.000 </w:t>
      </w:r>
      <w:r>
        <w:rPr>
          <w:sz w:val="15"/>
        </w:rPr>
        <w:t>€</w:t>
      </w:r>
      <w:r>
        <w:rPr>
          <w:sz w:val="15"/>
        </w:rPr>
        <w:t xml:space="preserve">, </w:t>
      </w:r>
      <w:r>
        <w:rPr>
          <w:sz w:val="15"/>
        </w:rPr>
        <w:t xml:space="preserve">auf </w:t>
      </w:r>
      <w:r>
        <w:rPr>
          <w:sz w:val="15"/>
        </w:rPr>
        <w:t>maximal</w:t>
      </w:r>
      <w:r>
        <w:rPr>
          <w:spacing w:val="-2"/>
          <w:sz w:val="15"/>
        </w:rPr>
        <w:t xml:space="preserve"> 200.000 €.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58" w:after="0" w:line="240" w:lineRule="auto"/>
        <w:ind w:left="369" w:right="138" w:hanging="284"/>
        <w:jc w:val="left"/>
        <w:rPr>
          <w:sz w:val="16"/>
        </w:rPr>
      </w:pPr>
      <w:r>
        <w:rPr>
          <w:sz w:val="21"/>
        </w:rPr>
        <w:br w:type="column"/>
      </w:r>
      <w:r>
        <w:rPr>
          <w:sz w:val="15"/>
        </w:rPr>
        <w:t xml:space="preserve">Jeder an MA erteilte Auftrag beinhaltet die Befugnis, </w:t>
      </w:r>
      <w:r>
        <w:rPr>
          <w:sz w:val="15"/>
        </w:rPr>
        <w:t xml:space="preserve">Dritte hinzuzuziehen und etwaige </w:t>
      </w:r>
      <w:r>
        <w:rPr>
          <w:sz w:val="15"/>
        </w:rPr>
        <w:t xml:space="preserve">Haftungsbeschränkungen </w:t>
      </w:r>
      <w:r>
        <w:rPr>
          <w:sz w:val="15"/>
        </w:rPr>
        <w:t xml:space="preserve">von </w:t>
      </w:r>
      <w:r>
        <w:rPr>
          <w:sz w:val="15"/>
        </w:rPr>
        <w:t xml:space="preserve">Erfüllungsgehilfen </w:t>
      </w:r>
      <w:r>
        <w:rPr>
          <w:sz w:val="15"/>
        </w:rPr>
        <w:t xml:space="preserve">auch </w:t>
      </w:r>
      <w:r>
        <w:rPr>
          <w:sz w:val="15"/>
        </w:rPr>
        <w:t xml:space="preserve">im Namen </w:t>
      </w:r>
      <w:r>
        <w:rPr>
          <w:sz w:val="15"/>
        </w:rPr>
        <w:t xml:space="preserve">des </w:t>
      </w:r>
      <w:r>
        <w:rPr>
          <w:sz w:val="15"/>
        </w:rPr>
        <w:t xml:space="preserve">Auftraggebers </w:t>
      </w:r>
      <w:r>
        <w:rPr>
          <w:sz w:val="15"/>
        </w:rPr>
        <w:t xml:space="preserve">zu </w:t>
      </w:r>
      <w:r>
        <w:rPr>
          <w:sz w:val="15"/>
        </w:rPr>
        <w:t xml:space="preserve">akzeptieren. </w:t>
      </w:r>
      <w:r>
        <w:rPr>
          <w:sz w:val="15"/>
        </w:rPr>
        <w:t xml:space="preserve">Die </w:t>
      </w:r>
      <w:r>
        <w:rPr>
          <w:sz w:val="15"/>
        </w:rPr>
        <w:t xml:space="preserve">Anwendbarkeit </w:t>
      </w:r>
      <w:r>
        <w:rPr>
          <w:sz w:val="15"/>
        </w:rPr>
        <w:t xml:space="preserve">von </w:t>
      </w:r>
      <w:r>
        <w:rPr>
          <w:sz w:val="15"/>
        </w:rPr>
        <w:t>Artikel</w:t>
      </w:r>
      <w:r>
        <w:rPr>
          <w:sz w:val="15"/>
        </w:rPr>
        <w:t xml:space="preserve"> 6:76 BW ist ausgeschlossen.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146" w:hanging="284"/>
        <w:jc w:val="left"/>
        <w:rPr>
          <w:sz w:val="16"/>
        </w:rPr>
      </w:pPr>
      <w:r>
        <w:rPr>
          <w:sz w:val="15"/>
        </w:rPr>
        <w:t xml:space="preserve">Sofern </w:t>
      </w:r>
      <w:r>
        <w:rPr>
          <w:sz w:val="15"/>
        </w:rPr>
        <w:t xml:space="preserve">und </w:t>
      </w:r>
      <w:r>
        <w:rPr>
          <w:sz w:val="15"/>
        </w:rPr>
        <w:t xml:space="preserve">soweit MA </w:t>
      </w:r>
      <w:r>
        <w:rPr>
          <w:sz w:val="15"/>
        </w:rPr>
        <w:t xml:space="preserve">als Prozessanwalt </w:t>
      </w:r>
      <w:r>
        <w:rPr>
          <w:sz w:val="15"/>
        </w:rPr>
        <w:t>auftritt</w:t>
      </w:r>
      <w:r>
        <w:rPr>
          <w:sz w:val="15"/>
        </w:rPr>
        <w:t xml:space="preserve">, stellt </w:t>
      </w:r>
      <w:r>
        <w:rPr>
          <w:sz w:val="15"/>
        </w:rPr>
        <w:t xml:space="preserve">der Auftraggeber MA von jeglicher Haftung für </w:t>
      </w:r>
      <w:r>
        <w:rPr>
          <w:sz w:val="15"/>
        </w:rPr>
        <w:t xml:space="preserve">berufliche Fehler </w:t>
      </w:r>
      <w:r>
        <w:rPr>
          <w:sz w:val="15"/>
        </w:rPr>
        <w:t xml:space="preserve">frei, </w:t>
      </w:r>
      <w:r>
        <w:rPr>
          <w:sz w:val="15"/>
        </w:rPr>
        <w:t xml:space="preserve">die auf die inhaltliche </w:t>
      </w:r>
      <w:r>
        <w:rPr>
          <w:sz w:val="15"/>
        </w:rPr>
        <w:t xml:space="preserve">Bearbeitung </w:t>
      </w:r>
      <w:r>
        <w:rPr>
          <w:sz w:val="15"/>
        </w:rPr>
        <w:t xml:space="preserve">der </w:t>
      </w:r>
      <w:r>
        <w:rPr>
          <w:sz w:val="15"/>
        </w:rPr>
        <w:t xml:space="preserve">Sache, </w:t>
      </w:r>
      <w:r>
        <w:rPr>
          <w:sz w:val="15"/>
        </w:rPr>
        <w:t xml:space="preserve">den </w:t>
      </w:r>
      <w:r>
        <w:rPr>
          <w:sz w:val="15"/>
        </w:rPr>
        <w:t xml:space="preserve">Inhalt </w:t>
      </w:r>
      <w:r>
        <w:rPr>
          <w:sz w:val="15"/>
        </w:rPr>
        <w:t xml:space="preserve">der </w:t>
      </w:r>
      <w:r>
        <w:rPr>
          <w:sz w:val="15"/>
        </w:rPr>
        <w:t xml:space="preserve">Prozessunterlagen </w:t>
      </w:r>
      <w:r>
        <w:rPr>
          <w:sz w:val="15"/>
        </w:rPr>
        <w:t xml:space="preserve">und/oder </w:t>
      </w:r>
      <w:r>
        <w:rPr>
          <w:sz w:val="15"/>
        </w:rPr>
        <w:t xml:space="preserve">die verspätete Einreichung der einzureichenden Prozessunterlagen </w:t>
      </w:r>
      <w:r>
        <w:rPr>
          <w:sz w:val="15"/>
        </w:rPr>
        <w:t>zurückzuführen sind</w:t>
      </w:r>
      <w:r>
        <w:rPr>
          <w:sz w:val="15"/>
        </w:rPr>
        <w:t>.</w:t>
      </w:r>
    </w:p>
    <w:p>
      <w:pPr>
        <w:pStyle w:val="ListParagraph"/>
        <w:numPr>
          <w:ilvl w:val="1"/>
          <w:numId w:val="3"/>
        </w:numPr>
        <w:tabs>
          <w:tab w:val="left" w:pos="367"/>
          <w:tab w:val="left" w:pos="369"/>
        </w:tabs>
        <w:spacing w:before="0" w:after="0" w:line="240" w:lineRule="auto"/>
        <w:ind w:left="369" w:right="24" w:hanging="284"/>
        <w:jc w:val="left"/>
        <w:rPr>
          <w:sz w:val="16"/>
        </w:rPr>
      </w:pPr>
      <w:r>
        <w:rPr>
          <w:sz w:val="15"/>
        </w:rPr>
        <w:t xml:space="preserve">Unbeschadet der Bestimmungen in Artikel 6:89 BW muss ein </w:t>
      </w:r>
      <w:r>
        <w:rPr>
          <w:sz w:val="15"/>
        </w:rPr>
        <w:t xml:space="preserve">Anspruch </w:t>
      </w:r>
      <w:r>
        <w:rPr>
          <w:sz w:val="15"/>
        </w:rPr>
        <w:t xml:space="preserve">auf </w:t>
      </w:r>
      <w:r>
        <w:rPr>
          <w:sz w:val="15"/>
        </w:rPr>
        <w:t xml:space="preserve">Schadensersatz </w:t>
      </w:r>
      <w:r>
        <w:rPr>
          <w:sz w:val="15"/>
        </w:rPr>
        <w:t xml:space="preserve">spätestens </w:t>
      </w:r>
      <w:r>
        <w:rPr>
          <w:sz w:val="15"/>
        </w:rPr>
        <w:t xml:space="preserve">zwölf </w:t>
      </w:r>
      <w:r>
        <w:rPr>
          <w:sz w:val="15"/>
        </w:rPr>
        <w:t xml:space="preserve">(12) </w:t>
      </w:r>
      <w:r>
        <w:rPr>
          <w:sz w:val="15"/>
        </w:rPr>
        <w:t>Monate</w:t>
      </w:r>
      <w:r>
        <w:rPr>
          <w:sz w:val="15"/>
        </w:rPr>
        <w:t xml:space="preserve">, </w:t>
      </w:r>
      <w:r>
        <w:rPr>
          <w:sz w:val="15"/>
        </w:rPr>
        <w:t>nachdem der Auftraggeber den Schaden entdeckt hat</w:t>
      </w:r>
      <w:r>
        <w:rPr>
          <w:sz w:val="15"/>
        </w:rPr>
        <w:t>,</w:t>
      </w:r>
      <w:r>
        <w:rPr>
          <w:sz w:val="15"/>
        </w:rPr>
        <w:t xml:space="preserve"> schriftlich bei MA </w:t>
      </w:r>
      <w:r>
        <w:rPr>
          <w:sz w:val="15"/>
        </w:rPr>
        <w:t xml:space="preserve">geltend gemacht werden; andernfalls </w:t>
      </w:r>
      <w:r>
        <w:rPr>
          <w:sz w:val="15"/>
        </w:rPr>
        <w:t xml:space="preserve">erlischt </w:t>
      </w:r>
      <w:r>
        <w:rPr>
          <w:sz w:val="15"/>
        </w:rPr>
        <w:t xml:space="preserve">der Anspruch auf </w:t>
      </w:r>
      <w:r>
        <w:rPr>
          <w:sz w:val="15"/>
        </w:rPr>
        <w:t>Schadensersatz.</w:t>
      </w:r>
    </w:p>
    <w:p>
      <w:pPr>
        <w:pStyle w:val="BodyText"/>
        <w:spacing w:before="2"/>
        <w:ind w:left="0" w:firstLine="0"/>
      </w:pPr>
    </w:p>
    <w:p>
      <w:pPr>
        <w:pStyle w:val="Heading2"/>
      </w:pPr>
      <w:r>
        <w:rPr>
          <w:sz w:val="15"/>
        </w:rPr>
        <w:t>Artikel</w:t>
      </w:r>
      <w:r>
        <w:rPr>
          <w:sz w:val="15"/>
        </w:rPr>
        <w:t xml:space="preserve"> 5 </w:t>
      </w:r>
      <w:r>
        <w:rPr>
          <w:sz w:val="15"/>
        </w:rPr>
        <w:t xml:space="preserve">– </w:t>
      </w:r>
      <w:r>
        <w:rPr>
          <w:sz w:val="15"/>
        </w:rPr>
        <w:t xml:space="preserve">Honorar </w:t>
      </w:r>
      <w:r>
        <w:rPr>
          <w:sz w:val="15"/>
        </w:rPr>
        <w:t xml:space="preserve">und </w:t>
      </w:r>
      <w:r>
        <w:rPr>
          <w:spacing w:val="-2"/>
          <w:sz w:val="15"/>
        </w:rPr>
        <w:t>Zahlungen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3" w:hanging="284"/>
        <w:jc w:val="left"/>
        <w:rPr>
          <w:sz w:val="16"/>
        </w:rPr>
      </w:pPr>
      <w:r>
        <w:rPr>
          <w:sz w:val="15"/>
        </w:rPr>
        <w:t xml:space="preserve">Die Abrechnung der Tätigkeiten erfolgt gemäß </w:t>
      </w:r>
      <w:r>
        <w:rPr>
          <w:sz w:val="15"/>
        </w:rPr>
        <w:t xml:space="preserve">dem Stundensatz der an der Ausführung beteiligten Personen, wie </w:t>
      </w:r>
      <w:r>
        <w:rPr>
          <w:sz w:val="15"/>
        </w:rPr>
        <w:t xml:space="preserve">er bei MA zum Zeitpunkt der Ausführung der </w:t>
      </w:r>
      <w:r>
        <w:rPr>
          <w:sz w:val="15"/>
        </w:rPr>
        <w:t xml:space="preserve">Tätigkeiten </w:t>
      </w:r>
      <w:r>
        <w:rPr>
          <w:sz w:val="15"/>
        </w:rPr>
        <w:t>gilt</w:t>
      </w:r>
      <w:r>
        <w:rPr>
          <w:sz w:val="15"/>
        </w:rPr>
        <w:t xml:space="preserve">, sofern nicht ausdrücklich schriftlich etwas anderes </w:t>
      </w:r>
      <w:r>
        <w:rPr>
          <w:sz w:val="15"/>
        </w:rPr>
        <w:t xml:space="preserve">vereinbart </w:t>
      </w:r>
      <w:r>
        <w:rPr>
          <w:sz w:val="15"/>
        </w:rPr>
        <w:t>wurde</w:t>
      </w:r>
      <w:r>
        <w:rPr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Der </w:t>
      </w:r>
      <w:r>
        <w:rPr>
          <w:sz w:val="15"/>
        </w:rPr>
        <w:t xml:space="preserve">Stundensatz </w:t>
      </w:r>
      <w:r>
        <w:rPr>
          <w:sz w:val="15"/>
        </w:rPr>
        <w:t xml:space="preserve">kann </w:t>
      </w:r>
      <w:r>
        <w:rPr>
          <w:sz w:val="15"/>
        </w:rPr>
        <w:t xml:space="preserve">mit </w:t>
      </w:r>
      <w:r>
        <w:rPr>
          <w:sz w:val="15"/>
        </w:rPr>
        <w:t xml:space="preserve">einem Faktor </w:t>
      </w:r>
      <w:r>
        <w:rPr>
          <w:sz w:val="15"/>
        </w:rPr>
        <w:t xml:space="preserve">multipliziert </w:t>
      </w:r>
      <w:r>
        <w:rPr>
          <w:sz w:val="15"/>
        </w:rPr>
        <w:t>werden</w:t>
      </w:r>
      <w:r>
        <w:rPr>
          <w:sz w:val="15"/>
        </w:rPr>
        <w:t xml:space="preserve">, </w:t>
      </w:r>
      <w:r>
        <w:rPr>
          <w:sz w:val="15"/>
        </w:rPr>
        <w:t xml:space="preserve">der von der Erfahrung und dem Fachgebiet </w:t>
      </w:r>
      <w:r>
        <w:rPr>
          <w:sz w:val="15"/>
        </w:rPr>
        <w:t xml:space="preserve">der Person(en), die den Auftrag tatsächlich ausführt (ausführen), </w:t>
      </w:r>
      <w:r>
        <w:rPr>
          <w:sz w:val="15"/>
        </w:rPr>
        <w:t xml:space="preserve">sowie von </w:t>
      </w:r>
      <w:r>
        <w:rPr>
          <w:sz w:val="15"/>
        </w:rPr>
        <w:t xml:space="preserve">der </w:t>
      </w:r>
      <w:r>
        <w:rPr>
          <w:sz w:val="15"/>
        </w:rPr>
        <w:t xml:space="preserve">finanziellen Bedeutung und der Dringlichkeit des </w:t>
      </w:r>
      <w:r>
        <w:rPr>
          <w:sz w:val="15"/>
        </w:rPr>
        <w:t>Auftrags abhängt.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199" w:hanging="284"/>
        <w:jc w:val="left"/>
        <w:rPr>
          <w:sz w:val="16"/>
        </w:rPr>
      </w:pPr>
      <w:r>
        <w:rPr>
          <w:sz w:val="15"/>
        </w:rPr>
        <w:t xml:space="preserve">Vereinbarte Tarife gelten, sofern nicht ausdrücklich </w:t>
      </w:r>
      <w:r>
        <w:rPr>
          <w:sz w:val="15"/>
        </w:rPr>
        <w:t xml:space="preserve">schriftlich </w:t>
      </w:r>
      <w:r>
        <w:rPr>
          <w:sz w:val="15"/>
        </w:rPr>
        <w:t xml:space="preserve">etwas anderes </w:t>
      </w:r>
      <w:r>
        <w:rPr>
          <w:sz w:val="15"/>
        </w:rPr>
        <w:t xml:space="preserve">vereinbart wurde, </w:t>
      </w:r>
      <w:r>
        <w:rPr>
          <w:sz w:val="15"/>
        </w:rPr>
        <w:t xml:space="preserve">für </w:t>
      </w:r>
      <w:r>
        <w:rPr>
          <w:sz w:val="15"/>
        </w:rPr>
        <w:t xml:space="preserve">die </w:t>
      </w:r>
      <w:r>
        <w:rPr>
          <w:sz w:val="15"/>
        </w:rPr>
        <w:t xml:space="preserve">Dauer </w:t>
      </w:r>
      <w:r>
        <w:rPr>
          <w:sz w:val="15"/>
        </w:rPr>
        <w:t xml:space="preserve">des Kalenderjahres, in dem sie vereinbart wurden, und können </w:t>
      </w:r>
      <w:r>
        <w:rPr>
          <w:sz w:val="15"/>
        </w:rPr>
        <w:t>zwischenzeitlich angepasst werden.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1" w:hanging="284"/>
        <w:jc w:val="left"/>
        <w:rPr>
          <w:sz w:val="16"/>
        </w:rPr>
      </w:pPr>
      <w:r>
        <w:rPr>
          <w:sz w:val="15"/>
        </w:rPr>
        <w:t>MA ist berechtigt</w:t>
      </w:r>
      <w:r>
        <w:rPr>
          <w:sz w:val="15"/>
        </w:rPr>
        <w:t xml:space="preserve">, ihre </w:t>
      </w:r>
      <w:r>
        <w:rPr>
          <w:sz w:val="15"/>
        </w:rPr>
        <w:t xml:space="preserve">geltenden </w:t>
      </w:r>
      <w:r>
        <w:rPr>
          <w:sz w:val="15"/>
        </w:rPr>
        <w:t>Tarife</w:t>
      </w:r>
      <w:r>
        <w:rPr>
          <w:sz w:val="15"/>
        </w:rPr>
        <w:t xml:space="preserve"> zu Beginn jedes Kalenderjahres </w:t>
      </w:r>
      <w:r>
        <w:rPr>
          <w:sz w:val="15"/>
        </w:rPr>
        <w:t xml:space="preserve">auf </w:t>
      </w:r>
      <w:r>
        <w:rPr>
          <w:sz w:val="15"/>
        </w:rPr>
        <w:t xml:space="preserve">der Grundlage </w:t>
      </w:r>
      <w:r>
        <w:rPr>
          <w:sz w:val="15"/>
        </w:rPr>
        <w:t xml:space="preserve">einer Indexierung </w:t>
      </w:r>
      <w:r>
        <w:rPr>
          <w:sz w:val="15"/>
        </w:rPr>
        <w:t xml:space="preserve">prozentual </w:t>
      </w:r>
      <w:r>
        <w:rPr>
          <w:sz w:val="15"/>
        </w:rPr>
        <w:t>an den Preisindex des CBS anzupassen</w:t>
      </w:r>
      <w:r>
        <w:rPr>
          <w:sz w:val="15"/>
        </w:rPr>
        <w:t xml:space="preserve">, </w:t>
      </w:r>
      <w:r>
        <w:rPr>
          <w:sz w:val="15"/>
        </w:rPr>
        <w:t xml:space="preserve">ohne dass der Auftraggeber </w:t>
      </w:r>
      <w:r>
        <w:rPr>
          <w:sz w:val="15"/>
        </w:rPr>
        <w:t xml:space="preserve">dadurch </w:t>
      </w:r>
      <w:r>
        <w:rPr>
          <w:sz w:val="15"/>
        </w:rPr>
        <w:t xml:space="preserve">ein Recht auf </w:t>
      </w:r>
      <w:r>
        <w:rPr>
          <w:sz w:val="15"/>
        </w:rPr>
        <w:t xml:space="preserve">Änderung oder Kündigung des Vertrags </w:t>
      </w:r>
      <w:r>
        <w:rPr>
          <w:sz w:val="15"/>
        </w:rPr>
        <w:t>hat</w:t>
      </w:r>
      <w:r>
        <w:rPr>
          <w:sz w:val="15"/>
        </w:rPr>
        <w:t>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1" w:after="0" w:line="240" w:lineRule="auto"/>
        <w:ind w:left="369" w:right="85" w:hanging="284"/>
        <w:jc w:val="left"/>
        <w:rPr>
          <w:sz w:val="16"/>
        </w:rPr>
      </w:pPr>
      <w:r>
        <w:rPr>
          <w:sz w:val="15"/>
        </w:rPr>
        <w:t xml:space="preserve">Wird </w:t>
      </w:r>
      <w:r>
        <w:rPr>
          <w:sz w:val="15"/>
        </w:rPr>
        <w:t xml:space="preserve">die </w:t>
      </w:r>
      <w:r>
        <w:rPr>
          <w:sz w:val="15"/>
        </w:rPr>
        <w:t xml:space="preserve">an </w:t>
      </w:r>
      <w:r>
        <w:rPr>
          <w:sz w:val="15"/>
        </w:rPr>
        <w:t xml:space="preserve">MA </w:t>
      </w:r>
      <w:r>
        <w:rPr>
          <w:sz w:val="15"/>
        </w:rPr>
        <w:t xml:space="preserve">zu zahlende </w:t>
      </w:r>
      <w:r>
        <w:rPr>
          <w:sz w:val="15"/>
        </w:rPr>
        <w:t xml:space="preserve">Vergütung </w:t>
      </w:r>
      <w:r>
        <w:rPr>
          <w:sz w:val="15"/>
        </w:rPr>
        <w:t xml:space="preserve">zeitanteilig </w:t>
      </w:r>
      <w:r>
        <w:rPr>
          <w:sz w:val="15"/>
        </w:rPr>
        <w:t xml:space="preserve">berechnet, ist die Zeiterfassung von MA verbindlich, vorbehaltlich </w:t>
      </w:r>
      <w:r>
        <w:rPr>
          <w:sz w:val="15"/>
        </w:rPr>
        <w:t>eines Gegenbeweises durch den Auftraggeber.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97" w:hanging="284"/>
        <w:jc w:val="left"/>
        <w:rPr>
          <w:sz w:val="16"/>
        </w:rPr>
      </w:pPr>
      <w:r>
        <w:rPr>
          <w:sz w:val="15"/>
        </w:rPr>
        <w:t xml:space="preserve">MA wird dem </w:t>
      </w:r>
      <w:r>
        <w:rPr>
          <w:sz w:val="15"/>
        </w:rPr>
        <w:t>Auftraggeber</w:t>
      </w:r>
      <w:r>
        <w:rPr>
          <w:sz w:val="15"/>
        </w:rPr>
        <w:t xml:space="preserve"> Kosten </w:t>
      </w:r>
      <w:r>
        <w:rPr>
          <w:sz w:val="15"/>
        </w:rPr>
        <w:t>in Rechnung stellen,</w:t>
      </w:r>
      <w:r>
        <w:rPr>
          <w:sz w:val="15"/>
        </w:rPr>
        <w:t xml:space="preserve"> die nicht in ihren Tarifen enthalten sind</w:t>
      </w:r>
      <w:r>
        <w:rPr>
          <w:sz w:val="15"/>
        </w:rPr>
        <w:t xml:space="preserve">, wie beispielsweise (aber nicht beschränkt auf) </w:t>
      </w:r>
      <w:r>
        <w:rPr>
          <w:sz w:val="15"/>
        </w:rPr>
        <w:t xml:space="preserve">Reisekosten, Gerichtsgebühren, Kurierkosten, Übersetzungskosten und </w:t>
      </w:r>
      <w:r>
        <w:rPr>
          <w:sz w:val="15"/>
        </w:rPr>
        <w:t xml:space="preserve">allgemein </w:t>
      </w:r>
      <w:r>
        <w:rPr>
          <w:sz w:val="15"/>
        </w:rPr>
        <w:t xml:space="preserve">die </w:t>
      </w:r>
      <w:r>
        <w:rPr>
          <w:sz w:val="15"/>
        </w:rPr>
        <w:t xml:space="preserve">Kosten </w:t>
      </w:r>
      <w:r>
        <w:rPr>
          <w:sz w:val="15"/>
        </w:rPr>
        <w:t xml:space="preserve">für </w:t>
      </w:r>
      <w:r>
        <w:rPr>
          <w:sz w:val="15"/>
        </w:rPr>
        <w:t xml:space="preserve">hinzugezogene </w:t>
      </w:r>
      <w:r>
        <w:rPr>
          <w:sz w:val="15"/>
        </w:rPr>
        <w:t>Dritte.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MA </w:t>
      </w:r>
      <w:r>
        <w:rPr>
          <w:sz w:val="15"/>
        </w:rPr>
        <w:t xml:space="preserve">ist </w:t>
      </w:r>
      <w:r>
        <w:rPr>
          <w:sz w:val="15"/>
        </w:rPr>
        <w:t>berechtigt</w:t>
      </w:r>
      <w:r>
        <w:rPr>
          <w:sz w:val="15"/>
        </w:rPr>
        <w:t xml:space="preserve">, </w:t>
      </w:r>
      <w:r>
        <w:rPr>
          <w:sz w:val="15"/>
        </w:rPr>
        <w:t xml:space="preserve">dem </w:t>
      </w:r>
      <w:r>
        <w:rPr>
          <w:sz w:val="15"/>
        </w:rPr>
        <w:t xml:space="preserve">Auftraggeber </w:t>
      </w:r>
      <w:r>
        <w:rPr>
          <w:sz w:val="15"/>
        </w:rPr>
        <w:t xml:space="preserve">einen </w:t>
      </w:r>
      <w:r>
        <w:rPr>
          <w:sz w:val="15"/>
        </w:rPr>
        <w:t xml:space="preserve">Vorschuss </w:t>
      </w:r>
      <w:r>
        <w:rPr>
          <w:sz w:val="15"/>
        </w:rPr>
        <w:t xml:space="preserve">in </w:t>
      </w:r>
      <w:r>
        <w:rPr>
          <w:sz w:val="15"/>
        </w:rPr>
        <w:t xml:space="preserve">Rechnung zu </w:t>
      </w:r>
      <w:r>
        <w:rPr>
          <w:sz w:val="15"/>
        </w:rPr>
        <w:t xml:space="preserve">stellen. </w:t>
      </w:r>
      <w:r>
        <w:rPr>
          <w:sz w:val="15"/>
        </w:rPr>
        <w:t xml:space="preserve">Erst nach Eingang des Vorschusses wird MA mit den </w:t>
      </w:r>
      <w:r>
        <w:rPr>
          <w:sz w:val="15"/>
        </w:rPr>
        <w:t xml:space="preserve">Arbeiten </w:t>
      </w:r>
      <w:r>
        <w:rPr>
          <w:sz w:val="15"/>
        </w:rPr>
        <w:t xml:space="preserve">beginnen. </w:t>
      </w:r>
      <w:r>
        <w:rPr>
          <w:sz w:val="15"/>
        </w:rPr>
        <w:t xml:space="preserve">Dieser </w:t>
      </w:r>
      <w:r>
        <w:rPr>
          <w:sz w:val="15"/>
        </w:rPr>
        <w:t xml:space="preserve">Vorschuss </w:t>
      </w:r>
      <w:r>
        <w:rPr>
          <w:sz w:val="15"/>
        </w:rPr>
        <w:t xml:space="preserve">wird </w:t>
      </w:r>
      <w:r>
        <w:rPr>
          <w:sz w:val="15"/>
        </w:rPr>
        <w:t xml:space="preserve">mit der letzten Abrechnung der Arbeiten </w:t>
      </w:r>
      <w:r>
        <w:rPr>
          <w:sz w:val="15"/>
        </w:rPr>
        <w:t xml:space="preserve">verrechnet, </w:t>
      </w:r>
      <w:r>
        <w:rPr>
          <w:sz w:val="15"/>
        </w:rPr>
        <w:t xml:space="preserve">auf die </w:t>
      </w:r>
      <w:r>
        <w:rPr>
          <w:sz w:val="15"/>
        </w:rPr>
        <w:t xml:space="preserve">sich </w:t>
      </w:r>
      <w:r>
        <w:rPr>
          <w:sz w:val="15"/>
        </w:rPr>
        <w:t xml:space="preserve">die </w:t>
      </w:r>
      <w:r>
        <w:rPr>
          <w:sz w:val="15"/>
        </w:rPr>
        <w:t>Zahlung des Vorschusses bezieht.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37" w:hanging="284"/>
        <w:jc w:val="left"/>
        <w:rPr>
          <w:sz w:val="16"/>
        </w:rPr>
      </w:pPr>
      <w:r>
        <w:rPr>
          <w:sz w:val="15"/>
        </w:rPr>
        <w:t xml:space="preserve">Rechnungen von MA sind vierzehn (14) Tage nach </w:t>
      </w:r>
      <w:r>
        <w:rPr>
          <w:sz w:val="15"/>
        </w:rPr>
        <w:t xml:space="preserve">Rechnungsdatum fällig, sofern nicht ausdrücklich schriftlich etwas anderes </w:t>
      </w:r>
      <w:r>
        <w:rPr>
          <w:sz w:val="15"/>
        </w:rPr>
        <w:t xml:space="preserve">vereinbart wurde, und müssen ohne Berufung auf Aufschub oder </w:t>
      </w:r>
      <w:r>
        <w:rPr>
          <w:sz w:val="15"/>
        </w:rPr>
        <w:t xml:space="preserve">Aufrechnung beglichen werden. Bei nicht fristgerechter und/oder </w:t>
      </w:r>
      <w:r>
        <w:rPr>
          <w:sz w:val="15"/>
        </w:rPr>
        <w:t xml:space="preserve">unvollständiger </w:t>
      </w:r>
      <w:r>
        <w:rPr>
          <w:sz w:val="15"/>
        </w:rPr>
        <w:t xml:space="preserve">Zahlung </w:t>
      </w:r>
      <w:r>
        <w:rPr>
          <w:sz w:val="15"/>
        </w:rPr>
        <w:t xml:space="preserve">gerät </w:t>
      </w:r>
      <w:r>
        <w:rPr>
          <w:sz w:val="15"/>
        </w:rPr>
        <w:t xml:space="preserve">der </w:t>
      </w:r>
      <w:r>
        <w:rPr>
          <w:sz w:val="15"/>
        </w:rPr>
        <w:t xml:space="preserve">Auftraggeber </w:t>
      </w:r>
      <w:r>
        <w:rPr>
          <w:sz w:val="15"/>
        </w:rPr>
        <w:t xml:space="preserve">von </w:t>
      </w:r>
      <w:r>
        <w:rPr>
          <w:sz w:val="15"/>
        </w:rPr>
        <w:t xml:space="preserve">Rechts wegen </w:t>
      </w:r>
      <w:r>
        <w:rPr>
          <w:sz w:val="15"/>
        </w:rPr>
        <w:t xml:space="preserve">in </w:t>
      </w:r>
      <w:r>
        <w:rPr>
          <w:sz w:val="15"/>
        </w:rPr>
        <w:t>Verzug.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Der Auftraggeber </w:t>
      </w:r>
      <w:r>
        <w:rPr>
          <w:sz w:val="15"/>
        </w:rPr>
        <w:t>schuldet</w:t>
      </w:r>
      <w:r>
        <w:rPr>
          <w:sz w:val="15"/>
        </w:rPr>
        <w:t xml:space="preserve"> dann die für ihn geltenden gesetzlichen </w:t>
      </w:r>
      <w:r>
        <w:rPr>
          <w:sz w:val="15"/>
        </w:rPr>
        <w:t xml:space="preserve">(Handels-)Zinsen auf den ausstehenden Betrag. </w:t>
      </w:r>
      <w:r>
        <w:rPr>
          <w:sz w:val="15"/>
        </w:rPr>
        <w:t>Darüber hinaus ist der Auftraggeber verpflichtet</w:t>
      </w:r>
      <w:r>
        <w:rPr>
          <w:sz w:val="15"/>
        </w:rPr>
        <w:t>,</w:t>
      </w:r>
      <w:r>
        <w:rPr>
          <w:sz w:val="15"/>
        </w:rPr>
        <w:t xml:space="preserve"> die </w:t>
      </w:r>
      <w:r>
        <w:rPr>
          <w:sz w:val="15"/>
        </w:rPr>
        <w:t>Inkassokosten zu erstatten, die pauschal auf</w:t>
      </w:r>
      <w:r>
        <w:rPr>
          <w:sz w:val="15"/>
        </w:rPr>
        <w:t xml:space="preserve"> 15 % der Hauptsumme </w:t>
      </w:r>
      <w:r>
        <w:rPr>
          <w:sz w:val="15"/>
        </w:rPr>
        <w:t>festgesetzt werden</w:t>
      </w:r>
      <w:r>
        <w:rPr>
          <w:sz w:val="15"/>
        </w:rPr>
        <w:t>.</w:t>
      </w:r>
    </w:p>
    <w:p>
      <w:pPr>
        <w:pStyle w:val="ListParagraph"/>
        <w:numPr>
          <w:ilvl w:val="1"/>
          <w:numId w:val="2"/>
        </w:numPr>
        <w:tabs>
          <w:tab w:val="left" w:pos="367"/>
          <w:tab w:val="left" w:pos="369"/>
        </w:tabs>
        <w:spacing w:before="0" w:after="0" w:line="240" w:lineRule="auto"/>
        <w:ind w:left="369" w:right="241" w:hanging="284"/>
        <w:jc w:val="left"/>
        <w:rPr>
          <w:sz w:val="16"/>
        </w:rPr>
      </w:pPr>
      <w:r>
        <w:rPr>
          <w:sz w:val="15"/>
        </w:rPr>
        <w:t xml:space="preserve">Zahlungen durch oder im Namen des Auftraggebers werden </w:t>
      </w:r>
      <w:r>
        <w:rPr>
          <w:sz w:val="15"/>
        </w:rPr>
        <w:t xml:space="preserve">zunächst auf die geschuldeten Kosten, </w:t>
      </w:r>
      <w:r>
        <w:rPr>
          <w:sz w:val="15"/>
        </w:rPr>
        <w:t xml:space="preserve">anschließend </w:t>
      </w:r>
      <w:r>
        <w:rPr>
          <w:sz w:val="15"/>
        </w:rPr>
        <w:t xml:space="preserve">auf </w:t>
      </w:r>
      <w:r>
        <w:rPr>
          <w:sz w:val="15"/>
        </w:rPr>
        <w:t xml:space="preserve">die </w:t>
      </w:r>
      <w:r>
        <w:rPr>
          <w:sz w:val="15"/>
        </w:rPr>
        <w:t xml:space="preserve">fälligen </w:t>
      </w:r>
      <w:r>
        <w:rPr>
          <w:sz w:val="15"/>
        </w:rPr>
        <w:t xml:space="preserve">Zinsen </w:t>
      </w:r>
      <w:r>
        <w:rPr>
          <w:sz w:val="15"/>
        </w:rPr>
        <w:t xml:space="preserve">und </w:t>
      </w:r>
      <w:r>
        <w:rPr>
          <w:sz w:val="15"/>
        </w:rPr>
        <w:t xml:space="preserve">schließlich </w:t>
      </w:r>
      <w:r>
        <w:rPr>
          <w:sz w:val="15"/>
        </w:rPr>
        <w:t xml:space="preserve">auf die am längsten ausstehende Rechnung angerechnet, auch wenn </w:t>
      </w:r>
      <w:r>
        <w:rPr>
          <w:sz w:val="15"/>
        </w:rPr>
        <w:t xml:space="preserve">bei </w:t>
      </w:r>
      <w:r>
        <w:rPr>
          <w:sz w:val="15"/>
        </w:rPr>
        <w:t xml:space="preserve">der </w:t>
      </w:r>
      <w:r>
        <w:rPr>
          <w:sz w:val="15"/>
        </w:rPr>
        <w:t xml:space="preserve">Zahlung </w:t>
      </w:r>
      <w:r>
        <w:rPr>
          <w:sz w:val="15"/>
        </w:rPr>
        <w:t xml:space="preserve">durch </w:t>
      </w:r>
      <w:r>
        <w:rPr>
          <w:sz w:val="15"/>
        </w:rPr>
        <w:t xml:space="preserve">oder </w:t>
      </w:r>
      <w:r>
        <w:rPr>
          <w:sz w:val="15"/>
        </w:rPr>
        <w:t xml:space="preserve">im Namen </w:t>
      </w:r>
      <w:r>
        <w:rPr>
          <w:sz w:val="15"/>
        </w:rPr>
        <w:t xml:space="preserve">des </w:t>
      </w:r>
      <w:r>
        <w:rPr>
          <w:sz w:val="15"/>
        </w:rPr>
        <w:t xml:space="preserve">Auftraggebers </w:t>
      </w:r>
      <w:r>
        <w:rPr>
          <w:sz w:val="15"/>
        </w:rPr>
        <w:t xml:space="preserve">etwas anderes </w:t>
      </w:r>
      <w:r>
        <w:rPr>
          <w:spacing w:val="-2"/>
          <w:sz w:val="15"/>
        </w:rPr>
        <w:t xml:space="preserve">angegeben </w:t>
      </w:r>
      <w:r>
        <w:rPr>
          <w:sz w:val="15"/>
        </w:rPr>
        <w:t>wird</w:t>
      </w:r>
      <w:r>
        <w:rPr>
          <w:spacing w:val="-2"/>
          <w:sz w:val="15"/>
        </w:rPr>
        <w:t>.</w:t>
      </w:r>
    </w:p>
    <w:p>
      <w:pPr>
        <w:pStyle w:val="BodyText"/>
        <w:ind w:left="0" w:firstLine="0"/>
      </w:pPr>
    </w:p>
    <w:p>
      <w:pPr>
        <w:pStyle w:val="Heading2"/>
        <w:spacing w:before="1"/>
      </w:pPr>
      <w:r>
        <w:rPr>
          <w:sz w:val="15"/>
        </w:rPr>
        <w:t>Artikel</w:t>
      </w:r>
      <w:r>
        <w:rPr>
          <w:sz w:val="15"/>
        </w:rPr>
        <w:t xml:space="preserve"> 6 </w:t>
      </w:r>
      <w:r>
        <w:rPr>
          <w:sz w:val="15"/>
        </w:rPr>
        <w:t xml:space="preserve">– </w:t>
      </w:r>
      <w:r>
        <w:rPr>
          <w:sz w:val="15"/>
        </w:rPr>
        <w:t xml:space="preserve">Anwendbares </w:t>
      </w:r>
      <w:r>
        <w:rPr>
          <w:sz w:val="15"/>
        </w:rPr>
        <w:t xml:space="preserve">Recht, </w:t>
      </w:r>
      <w:r>
        <w:rPr>
          <w:sz w:val="15"/>
        </w:rPr>
        <w:t xml:space="preserve">Beschwerdeverfahren, </w:t>
      </w:r>
      <w:r>
        <w:rPr>
          <w:spacing w:val="-2"/>
          <w:sz w:val="15"/>
        </w:rPr>
        <w:t>Streitbeilegung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10" w:hanging="284"/>
        <w:jc w:val="left"/>
        <w:rPr>
          <w:sz w:val="16"/>
        </w:rPr>
      </w:pPr>
      <w:r>
        <w:rPr>
          <w:sz w:val="15"/>
        </w:rPr>
        <w:t xml:space="preserve">Auf die zwischen MA und dem Auftraggeber geschlossenen Verträge </w:t>
      </w:r>
      <w:r>
        <w:rPr>
          <w:sz w:val="15"/>
        </w:rPr>
        <w:t>(</w:t>
      </w:r>
      <w:r>
        <w:rPr>
          <w:sz w:val="15"/>
        </w:rPr>
        <w:t xml:space="preserve">einschließlich </w:t>
      </w:r>
      <w:r>
        <w:rPr>
          <w:sz w:val="15"/>
        </w:rPr>
        <w:t xml:space="preserve">künftiger </w:t>
      </w:r>
      <w:r>
        <w:rPr>
          <w:sz w:val="15"/>
        </w:rPr>
        <w:t>Verträge</w:t>
      </w:r>
      <w:r>
        <w:rPr>
          <w:sz w:val="15"/>
        </w:rPr>
        <w:t xml:space="preserve">) </w:t>
      </w:r>
      <w:r>
        <w:rPr>
          <w:sz w:val="15"/>
        </w:rPr>
        <w:t xml:space="preserve">findet </w:t>
      </w:r>
      <w:r>
        <w:rPr>
          <w:sz w:val="15"/>
        </w:rPr>
        <w:t xml:space="preserve">ausschließlich </w:t>
      </w:r>
      <w:r>
        <w:rPr>
          <w:sz w:val="15"/>
        </w:rPr>
        <w:t xml:space="preserve">niederländisches </w:t>
      </w:r>
      <w:r>
        <w:rPr>
          <w:sz w:val="15"/>
        </w:rPr>
        <w:t xml:space="preserve">Recht </w:t>
      </w:r>
      <w:r>
        <w:rPr>
          <w:sz w:val="15"/>
        </w:rPr>
        <w:t>Anwendung.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4"/>
          <w:footerReference w:type="default" r:id="rId5"/>
          <w:type w:val="continuous"/>
          <w:pgSz w:w="11910" w:h="16840"/>
          <w:pgMar w:top="1980" w:right="992" w:bottom="1120" w:left="1275" w:header="1140" w:footer="936"/>
          <w:pgNumType w:start="1"/>
          <w:cols w:num="2" w:space="708" w:equalWidth="0">
            <w:col w:w="4727" w:space="220"/>
            <w:col w:w="4696" w:space="0"/>
          </w:cols>
        </w:sectPr>
      </w:pPr>
    </w:p>
    <w:p>
      <w:pPr>
        <w:pStyle w:val="ListParagraph"/>
        <w:numPr>
          <w:ilvl w:val="1"/>
          <w:numId w:val="1"/>
        </w:numPr>
        <w:tabs>
          <w:tab w:val="left" w:pos="368"/>
        </w:tabs>
        <w:spacing w:before="58" w:after="0" w:line="240" w:lineRule="auto"/>
        <w:ind w:left="368" w:right="0" w:hanging="282"/>
        <w:jc w:val="left"/>
        <w:rPr>
          <w:sz w:val="16"/>
        </w:rPr>
      </w:pPr>
      <w:r>
        <w:rPr>
          <w:sz w:val="15"/>
        </w:rPr>
        <w:t xml:space="preserve">Für </w:t>
      </w:r>
      <w:r>
        <w:rPr>
          <w:sz w:val="15"/>
        </w:rPr>
        <w:t xml:space="preserve">Beschwerden </w:t>
      </w:r>
      <w:r>
        <w:rPr>
          <w:sz w:val="15"/>
        </w:rPr>
        <w:t xml:space="preserve">des </w:t>
      </w:r>
      <w:r>
        <w:rPr>
          <w:sz w:val="15"/>
        </w:rPr>
        <w:t xml:space="preserve">Auftraggebers </w:t>
      </w:r>
      <w:r>
        <w:rPr>
          <w:sz w:val="15"/>
        </w:rPr>
        <w:t xml:space="preserve">gilt </w:t>
      </w:r>
      <w:r>
        <w:rPr>
          <w:spacing w:val="-5"/>
          <w:sz w:val="15"/>
        </w:rPr>
        <w:t>die</w:t>
      </w:r>
    </w:p>
    <w:p>
      <w:pPr>
        <w:pStyle w:val="BodyText"/>
        <w:spacing w:before="1"/>
        <w:ind w:right="4959" w:firstLine="0"/>
      </w:pPr>
      <w:r>
        <w:rPr>
          <w:sz w:val="15"/>
        </w:rPr>
        <w:t>„</w:t>
      </w:r>
      <w:r>
        <w:rPr>
          <w:sz w:val="15"/>
        </w:rPr>
        <w:t xml:space="preserve">Beschwerdeverfahren der Kanzlei </w:t>
      </w:r>
      <w:r>
        <w:rPr>
          <w:sz w:val="15"/>
        </w:rPr>
        <w:t xml:space="preserve">MannaertsAppels </w:t>
      </w:r>
      <w:r>
        <w:rPr>
          <w:sz w:val="15"/>
        </w:rPr>
        <w:t xml:space="preserve">N.V.“, </w:t>
      </w:r>
      <w:r>
        <w:rPr>
          <w:sz w:val="15"/>
        </w:rPr>
        <w:t xml:space="preserve">einsehbar </w:t>
      </w:r>
      <w:r>
        <w:rPr>
          <w:sz w:val="15"/>
        </w:rPr>
        <w:t xml:space="preserve">auf </w:t>
      </w:r>
      <w:r>
        <w:rPr>
          <w:sz w:val="15"/>
        </w:rPr>
        <w:t xml:space="preserve">unserer </w:t>
      </w:r>
      <w:r>
        <w:rPr>
          <w:sz w:val="15"/>
        </w:rPr>
        <w:t>Website.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4953" w:hanging="284"/>
        <w:jc w:val="left"/>
        <w:rPr>
          <w:sz w:val="16"/>
        </w:rPr>
      </w:pPr>
      <w:r>
        <w:rPr>
          <w:sz w:val="15"/>
        </w:rPr>
        <w:t xml:space="preserve">MA ist Mitglied der Schlichtungsstelle für die Anwaltschaft </w:t>
      </w:r>
      <w:r>
        <w:rPr>
          <w:sz w:val="15"/>
        </w:rPr>
        <w:t>im Wirtschaftsrecht. Diese Schlichtungsstelle ist zuständig</w:t>
      </w:r>
      <w:r>
        <w:rPr>
          <w:sz w:val="15"/>
        </w:rPr>
        <w:t>,</w:t>
      </w:r>
      <w:r>
        <w:rPr>
          <w:sz w:val="15"/>
        </w:rPr>
        <w:t xml:space="preserve"> falls die Beschwerde im </w:t>
      </w:r>
      <w:r>
        <w:rPr>
          <w:sz w:val="15"/>
        </w:rPr>
        <w:t xml:space="preserve">Rahmen des internen Beschwerdeverfahrens der Beschwerderegelung zu keiner </w:t>
      </w:r>
      <w:r>
        <w:rPr>
          <w:sz w:val="15"/>
        </w:rPr>
        <w:t xml:space="preserve">Lösung </w:t>
      </w:r>
      <w:r>
        <w:rPr>
          <w:sz w:val="15"/>
        </w:rPr>
        <w:t xml:space="preserve">führt </w:t>
      </w:r>
      <w:r>
        <w:rPr>
          <w:sz w:val="15"/>
        </w:rPr>
        <w:t xml:space="preserve">und </w:t>
      </w:r>
      <w:r>
        <w:rPr>
          <w:sz w:val="15"/>
        </w:rPr>
        <w:t xml:space="preserve">sofern </w:t>
      </w:r>
      <w:r>
        <w:rPr>
          <w:sz w:val="15"/>
        </w:rPr>
        <w:t xml:space="preserve">es </w:t>
      </w:r>
      <w:r>
        <w:rPr>
          <w:sz w:val="15"/>
        </w:rPr>
        <w:t xml:space="preserve">sich um </w:t>
      </w:r>
      <w:r>
        <w:rPr>
          <w:sz w:val="15"/>
        </w:rPr>
        <w:t xml:space="preserve">einen </w:t>
      </w:r>
      <w:r>
        <w:rPr>
          <w:sz w:val="15"/>
        </w:rPr>
        <w:t xml:space="preserve">Streitfall </w:t>
      </w:r>
      <w:r>
        <w:rPr>
          <w:sz w:val="15"/>
        </w:rPr>
        <w:t>handelt</w:t>
      </w:r>
      <w:r>
        <w:rPr>
          <w:sz w:val="15"/>
        </w:rPr>
        <w:t xml:space="preserve">, </w:t>
      </w:r>
      <w:r>
        <w:rPr>
          <w:sz w:val="15"/>
        </w:rPr>
        <w:t xml:space="preserve">der </w:t>
      </w:r>
      <w:r>
        <w:rPr>
          <w:sz w:val="15"/>
        </w:rPr>
        <w:t xml:space="preserve">gemäß </w:t>
      </w:r>
      <w:r>
        <w:rPr>
          <w:sz w:val="15"/>
        </w:rPr>
        <w:t xml:space="preserve">der Schlichtungsordnung für die Anwaltschaft im Wirtschaftsrecht dieser </w:t>
      </w:r>
      <w:r>
        <w:rPr>
          <w:sz w:val="15"/>
        </w:rPr>
        <w:t xml:space="preserve">Schlichtungsstelle vorgelegt werden kann. Dies betrifft </w:t>
      </w:r>
      <w:r>
        <w:rPr>
          <w:sz w:val="15"/>
        </w:rPr>
        <w:t xml:space="preserve">Streitigkeiten zwischen gewerblichen Mandanten von MA (Abnehmer von </w:t>
      </w:r>
      <w:r>
        <w:rPr>
          <w:sz w:val="15"/>
        </w:rPr>
        <w:t>Dienstleistungen von MA</w:t>
      </w:r>
      <w:r>
        <w:rPr>
          <w:sz w:val="15"/>
        </w:rPr>
        <w:t>,</w:t>
      </w:r>
      <w:r>
        <w:rPr>
          <w:sz w:val="15"/>
        </w:rPr>
        <w:t xml:space="preserve"> die in Ausübung eines Berufs </w:t>
      </w:r>
      <w:r>
        <w:rPr>
          <w:sz w:val="15"/>
        </w:rPr>
        <w:t xml:space="preserve">oder Gewerbes </w:t>
      </w:r>
      <w:r>
        <w:rPr>
          <w:sz w:val="15"/>
        </w:rPr>
        <w:t>handeln</w:t>
      </w:r>
      <w:r>
        <w:rPr>
          <w:sz w:val="15"/>
        </w:rPr>
        <w:t xml:space="preserve">) und MA über den Abschluss oder die Erfüllung von mit </w:t>
      </w:r>
      <w:r>
        <w:rPr>
          <w:sz w:val="15"/>
        </w:rPr>
        <w:t xml:space="preserve">MA geschlossenen Verträgen sowie Streitigkeiten über Honorarabrechnungen, </w:t>
      </w:r>
      <w:r>
        <w:rPr>
          <w:sz w:val="15"/>
        </w:rPr>
        <w:t>es sei denn</w:t>
      </w:r>
      <w:r>
        <w:rPr>
          <w:sz w:val="15"/>
        </w:rPr>
        <w:t xml:space="preserve">, </w:t>
      </w:r>
      <w:r>
        <w:rPr>
          <w:sz w:val="15"/>
        </w:rPr>
        <w:t xml:space="preserve">die </w:t>
      </w:r>
      <w:r>
        <w:rPr>
          <w:sz w:val="15"/>
        </w:rPr>
        <w:t xml:space="preserve">Schlichtungskommission </w:t>
      </w:r>
      <w:r>
        <w:rPr>
          <w:sz w:val="15"/>
        </w:rPr>
        <w:t xml:space="preserve">erachtet </w:t>
      </w:r>
      <w:r>
        <w:rPr>
          <w:sz w:val="15"/>
        </w:rPr>
        <w:t xml:space="preserve">sich </w:t>
      </w:r>
      <w:r>
        <w:rPr>
          <w:sz w:val="15"/>
        </w:rPr>
        <w:t xml:space="preserve">hierfür </w:t>
      </w:r>
      <w:r>
        <w:rPr>
          <w:sz w:val="15"/>
        </w:rPr>
        <w:t>als</w:t>
      </w:r>
      <w:r>
        <w:rPr>
          <w:sz w:val="15"/>
        </w:rPr>
        <w:t xml:space="preserve"> nicht </w:t>
      </w:r>
      <w:r>
        <w:rPr>
          <w:sz w:val="15"/>
        </w:rPr>
        <w:t>zuständig</w:t>
      </w:r>
      <w:r>
        <w:rPr>
          <w:sz w:val="15"/>
        </w:rPr>
        <w:t>.</w:t>
      </w:r>
      <w:r>
        <w:rPr>
          <w:spacing w:val="-2"/>
          <w:sz w:val="15"/>
        </w:rPr>
        <w:t xml:space="preserve"> </w:t>
      </w:r>
      <w:r>
        <w:rPr>
          <w:sz w:val="15"/>
        </w:rPr>
        <w:t xml:space="preserve">Die </w:t>
      </w:r>
      <w:r>
        <w:rPr>
          <w:sz w:val="15"/>
        </w:rPr>
        <w:t xml:space="preserve">Geschäftsordnung der Schlichtungsstelle für die Anwaltschaft im Geschäftsbereich wird </w:t>
      </w:r>
      <w:r>
        <w:rPr>
          <w:sz w:val="15"/>
        </w:rPr>
        <w:t xml:space="preserve">dem Auftraggeber </w:t>
      </w:r>
      <w:r>
        <w:rPr>
          <w:sz w:val="15"/>
        </w:rPr>
        <w:t xml:space="preserve">auf </w:t>
      </w:r>
      <w:r>
        <w:rPr>
          <w:sz w:val="15"/>
        </w:rPr>
        <w:t xml:space="preserve">erstes Anfordern zugesandt und ist über </w:t>
      </w:r>
      <w:r>
        <w:rPr>
          <w:sz w:val="15"/>
        </w:rPr>
        <w:t>die Website</w:t>
      </w:r>
      <w:hyperlink r:id="rId6">
        <w:r>
          <w:rPr>
            <w:sz w:val="15"/>
          </w:rPr>
          <w:t xml:space="preserve"> www.degeschillencommissie.nl</w:t>
        </w:r>
      </w:hyperlink>
      <w:r>
        <w:rPr>
          <w:sz w:val="15"/>
        </w:rPr>
        <w:t xml:space="preserve"> einsehbar</w:t>
      </w:r>
      <w:r>
        <w:rPr>
          <w:sz w:val="15"/>
        </w:rPr>
        <w:t xml:space="preserve">. Die </w:t>
      </w:r>
      <w:r>
        <w:rPr>
          <w:sz w:val="15"/>
        </w:rPr>
        <w:t xml:space="preserve">Schlichtungsstelle für die Anwaltschaft im Geschäftsbereich entscheidet im Wege des </w:t>
      </w:r>
      <w:r>
        <w:rPr>
          <w:spacing w:val="-2"/>
          <w:sz w:val="15"/>
        </w:rPr>
        <w:t>Schiedsverfahrens.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0" w:after="0" w:line="240" w:lineRule="auto"/>
        <w:ind w:left="369" w:right="4967" w:hanging="284"/>
        <w:jc w:val="left"/>
        <w:rPr>
          <w:sz w:val="16"/>
        </w:rPr>
      </w:pPr>
      <w:r>
        <w:rPr>
          <w:sz w:val="15"/>
        </w:rPr>
        <w:t xml:space="preserve">MA ist Mitglied der Schlichtungsstelle für Rechtsanwälte </w:t>
      </w:r>
      <w:r>
        <w:rPr>
          <w:sz w:val="15"/>
        </w:rPr>
        <w:t>(Verbraucher). Diese Schlichtungsstelle ist zuständig</w:t>
      </w:r>
      <w:r>
        <w:rPr>
          <w:sz w:val="15"/>
        </w:rPr>
        <w:t>,</w:t>
      </w:r>
      <w:r>
        <w:rPr>
          <w:sz w:val="15"/>
        </w:rPr>
        <w:t xml:space="preserve"> falls die </w:t>
      </w:r>
      <w:r>
        <w:rPr>
          <w:sz w:val="15"/>
        </w:rPr>
        <w:t xml:space="preserve">Beschwerde im Rahmen des internen Beschwerdeverfahrens gemäß der Beschwerdeordnung </w:t>
      </w:r>
      <w:r>
        <w:rPr>
          <w:sz w:val="15"/>
        </w:rPr>
        <w:t xml:space="preserve">zu keiner Lösung führt und sofern es sich um eine Streitigkeit handelt, </w:t>
      </w:r>
      <w:r>
        <w:rPr>
          <w:sz w:val="15"/>
        </w:rPr>
        <w:t xml:space="preserve">die gemäß der Schlichtungsordnung für Rechtsanwälte (Verbraucher) </w:t>
      </w:r>
      <w:r>
        <w:rPr>
          <w:sz w:val="15"/>
        </w:rPr>
        <w:t xml:space="preserve">dieser Schlichtungsstelle vorgelegt werden kann. Dies betrifft </w:t>
      </w:r>
      <w:r>
        <w:rPr>
          <w:sz w:val="15"/>
        </w:rPr>
        <w:t xml:space="preserve">alle </w:t>
      </w:r>
      <w:r>
        <w:rPr>
          <w:sz w:val="15"/>
        </w:rPr>
        <w:t xml:space="preserve">Streitigkeiten, </w:t>
      </w:r>
      <w:r>
        <w:rPr>
          <w:sz w:val="15"/>
        </w:rPr>
        <w:t xml:space="preserve">die </w:t>
      </w:r>
      <w:r>
        <w:rPr>
          <w:sz w:val="15"/>
        </w:rPr>
        <w:t xml:space="preserve">von </w:t>
      </w:r>
      <w:r>
        <w:rPr>
          <w:sz w:val="15"/>
        </w:rPr>
        <w:t xml:space="preserve">Verbraucherkunden </w:t>
      </w:r>
      <w:r>
        <w:rPr>
          <w:sz w:val="15"/>
        </w:rPr>
        <w:t xml:space="preserve">(wobei </w:t>
      </w:r>
      <w:r>
        <w:rPr>
          <w:sz w:val="15"/>
        </w:rPr>
        <w:t xml:space="preserve">hierunter </w:t>
      </w:r>
      <w:r>
        <w:rPr>
          <w:sz w:val="15"/>
        </w:rPr>
        <w:t xml:space="preserve">ein </w:t>
      </w:r>
      <w:r>
        <w:rPr>
          <w:sz w:val="15"/>
        </w:rPr>
        <w:t xml:space="preserve">Abnehmer von Dienstleistungen von MA </w:t>
      </w:r>
      <w:r>
        <w:rPr>
          <w:sz w:val="15"/>
        </w:rPr>
        <w:t xml:space="preserve">zu </w:t>
      </w:r>
      <w:r>
        <w:rPr>
          <w:sz w:val="15"/>
        </w:rPr>
        <w:t xml:space="preserve">verstehen ist, </w:t>
      </w:r>
      <w:r>
        <w:rPr>
          <w:sz w:val="15"/>
        </w:rPr>
        <w:t xml:space="preserve">der nicht in </w:t>
      </w:r>
      <w:r>
        <w:rPr>
          <w:sz w:val="15"/>
        </w:rPr>
        <w:t xml:space="preserve">Ausübung eines Berufs oder Gewerbes </w:t>
      </w:r>
      <w:r>
        <w:rPr>
          <w:sz w:val="15"/>
        </w:rPr>
        <w:t>handelt</w:t>
      </w:r>
      <w:r>
        <w:rPr>
          <w:sz w:val="15"/>
        </w:rPr>
        <w:t xml:space="preserve">) der Schlichtungskommission </w:t>
      </w:r>
      <w:r>
        <w:rPr>
          <w:sz w:val="15"/>
        </w:rPr>
        <w:t>vorgelegt werden</w:t>
      </w:r>
      <w:r>
        <w:rPr>
          <w:sz w:val="15"/>
        </w:rPr>
        <w:t xml:space="preserve"> und </w:t>
      </w:r>
      <w:r>
        <w:rPr>
          <w:sz w:val="15"/>
        </w:rPr>
        <w:t xml:space="preserve">die den Abschluss oder die Erfüllung </w:t>
      </w:r>
      <w:r>
        <w:rPr>
          <w:sz w:val="15"/>
        </w:rPr>
        <w:t xml:space="preserve">von Verträgen mit MA sowie Streitigkeiten über Rechnungsstellungen </w:t>
      </w:r>
      <w:r>
        <w:rPr>
          <w:sz w:val="15"/>
        </w:rPr>
        <w:t>betreffen</w:t>
      </w:r>
      <w:r>
        <w:rPr>
          <w:sz w:val="15"/>
        </w:rPr>
        <w:t xml:space="preserve">, es sei denn, die </w:t>
      </w:r>
      <w:r>
        <w:rPr>
          <w:sz w:val="15"/>
        </w:rPr>
        <w:t xml:space="preserve">Schlichtungskommission erachtet sich hierfür als nicht zuständig. Die </w:t>
      </w:r>
      <w:r>
        <w:rPr>
          <w:sz w:val="15"/>
        </w:rPr>
        <w:t xml:space="preserve">Geschäftsordnung der Schlichtungsstelle für Rechtsanwälte (Verbraucher) </w:t>
      </w:r>
      <w:r>
        <w:rPr>
          <w:sz w:val="15"/>
        </w:rPr>
        <w:t xml:space="preserve">wird dem Auftraggeber auf erstes Anfordern zugesandt und ist </w:t>
      </w:r>
      <w:r>
        <w:rPr>
          <w:sz w:val="15"/>
        </w:rPr>
        <w:t>auf der Website</w:t>
      </w:r>
      <w:hyperlink r:id="rId7">
        <w:r>
          <w:rPr>
            <w:sz w:val="15"/>
          </w:rPr>
          <w:t xml:space="preserve"> www.degeschillencommissie.nl</w:t>
        </w:r>
      </w:hyperlink>
      <w:r>
        <w:rPr>
          <w:sz w:val="15"/>
        </w:rPr>
        <w:t xml:space="preserve"> einsehbar</w:t>
      </w:r>
      <w:r>
        <w:rPr>
          <w:sz w:val="15"/>
        </w:rPr>
        <w:t xml:space="preserve">. Die </w:t>
      </w:r>
      <w:r>
        <w:rPr>
          <w:sz w:val="15"/>
        </w:rPr>
        <w:t xml:space="preserve">Schlichtungsstelle für Rechtsanwälte (Verbraucher) entscheidet im Wege </w:t>
      </w:r>
      <w:r>
        <w:rPr>
          <w:sz w:val="15"/>
        </w:rPr>
        <w:t xml:space="preserve">eines </w:t>
      </w:r>
      <w:r>
        <w:rPr>
          <w:sz w:val="15"/>
        </w:rPr>
        <w:t xml:space="preserve">verbindlichen </w:t>
      </w:r>
      <w:r>
        <w:rPr>
          <w:sz w:val="15"/>
        </w:rPr>
        <w:t xml:space="preserve">Gutachtens, wenn </w:t>
      </w:r>
      <w:r>
        <w:rPr>
          <w:sz w:val="15"/>
        </w:rPr>
        <w:t xml:space="preserve">die Streitigkeit </w:t>
      </w:r>
      <w:r>
        <w:rPr>
          <w:sz w:val="15"/>
        </w:rPr>
        <w:t xml:space="preserve">vom Mandanten </w:t>
      </w:r>
      <w:r>
        <w:rPr>
          <w:sz w:val="15"/>
        </w:rPr>
        <w:t>vorgebracht</w:t>
      </w:r>
      <w:r>
        <w:rPr>
          <w:sz w:val="15"/>
        </w:rPr>
        <w:t xml:space="preserve"> wird</w:t>
      </w:r>
      <w:r>
        <w:rPr>
          <w:sz w:val="15"/>
        </w:rPr>
        <w:t xml:space="preserve">. In allen übrigen Fällen entscheidet die Schlichtungsstelle </w:t>
      </w:r>
      <w:r>
        <w:rPr>
          <w:sz w:val="15"/>
        </w:rPr>
        <w:t xml:space="preserve">im Wege eines Schiedsverfahrens. Ein Verbraucher-Mandant im Sinne dieses </w:t>
      </w:r>
      <w:r>
        <w:rPr>
          <w:sz w:val="15"/>
        </w:rPr>
        <w:t xml:space="preserve">Absatzes hat stets die Wahl und das Recht, eine Streitigkeit nicht </w:t>
      </w:r>
      <w:r>
        <w:rPr>
          <w:sz w:val="15"/>
        </w:rPr>
        <w:t xml:space="preserve">der Schlichtungskommission, sondern dem </w:t>
      </w:r>
      <w:r>
        <w:rPr>
          <w:sz w:val="15"/>
        </w:rPr>
        <w:t xml:space="preserve">Zivilgericht </w:t>
      </w:r>
      <w:r>
        <w:rPr>
          <w:sz w:val="15"/>
        </w:rPr>
        <w:t>vorzulegen</w:t>
      </w:r>
      <w:r>
        <w:rPr>
          <w:sz w:val="15"/>
        </w:rPr>
        <w:t xml:space="preserve">, und kann diesbezüglich auf Anfrage bei MA weitere </w:t>
      </w:r>
      <w:r>
        <w:rPr>
          <w:sz w:val="15"/>
        </w:rPr>
        <w:t xml:space="preserve">Informationen einholen, auch über den Unterschied zwischen einer Entscheidung durch </w:t>
      </w:r>
      <w:r>
        <w:rPr>
          <w:sz w:val="15"/>
        </w:rPr>
        <w:t>die Schlichtungskommission oder durch das Gericht.</w:t>
      </w:r>
    </w:p>
    <w:p>
      <w:pPr>
        <w:pStyle w:val="ListParagraph"/>
        <w:numPr>
          <w:ilvl w:val="1"/>
          <w:numId w:val="1"/>
        </w:numPr>
        <w:tabs>
          <w:tab w:val="left" w:pos="367"/>
          <w:tab w:val="left" w:pos="369"/>
        </w:tabs>
        <w:spacing w:before="1" w:after="0" w:line="240" w:lineRule="auto"/>
        <w:ind w:left="369" w:right="5025" w:hanging="284"/>
        <w:jc w:val="left"/>
        <w:rPr>
          <w:sz w:val="16"/>
        </w:rPr>
      </w:pPr>
      <w:r>
        <w:rPr>
          <w:sz w:val="15"/>
        </w:rPr>
        <w:t xml:space="preserve">Falls eine Streitigkeit zwischen einem Kunden von MA und MA auch eine </w:t>
      </w:r>
      <w:r>
        <w:rPr>
          <w:sz w:val="15"/>
        </w:rPr>
        <w:t xml:space="preserve">Schadensersatzforderung </w:t>
      </w:r>
      <w:r>
        <w:rPr>
          <w:sz w:val="15"/>
        </w:rPr>
        <w:t xml:space="preserve">des </w:t>
      </w:r>
      <w:r>
        <w:rPr>
          <w:sz w:val="15"/>
        </w:rPr>
        <w:t xml:space="preserve">Kunden </w:t>
      </w:r>
      <w:r>
        <w:rPr>
          <w:sz w:val="15"/>
        </w:rPr>
        <w:t>betrifft</w:t>
      </w:r>
      <w:r>
        <w:rPr>
          <w:sz w:val="15"/>
        </w:rPr>
        <w:t xml:space="preserve">, </w:t>
      </w:r>
      <w:r>
        <w:rPr>
          <w:sz w:val="15"/>
        </w:rPr>
        <w:t xml:space="preserve">die </w:t>
      </w:r>
      <w:r>
        <w:rPr>
          <w:sz w:val="15"/>
        </w:rPr>
        <w:t xml:space="preserve">einen </w:t>
      </w:r>
      <w:r>
        <w:rPr>
          <w:sz w:val="15"/>
        </w:rPr>
        <w:t xml:space="preserve">Betrag </w:t>
      </w:r>
      <w:r>
        <w:rPr>
          <w:sz w:val="15"/>
        </w:rPr>
        <w:t xml:space="preserve">von 25.000 € übersteigt, ist die </w:t>
      </w:r>
      <w:r>
        <w:rPr>
          <w:sz w:val="15"/>
        </w:rPr>
        <w:t xml:space="preserve">Schlichtungskommission </w:t>
      </w:r>
      <w:r>
        <w:rPr>
          <w:sz w:val="15"/>
        </w:rPr>
        <w:t xml:space="preserve">für diese Forderung </w:t>
      </w:r>
      <w:r>
        <w:rPr>
          <w:sz w:val="15"/>
        </w:rPr>
        <w:t xml:space="preserve">nicht </w:t>
      </w:r>
      <w:r>
        <w:rPr>
          <w:sz w:val="15"/>
        </w:rPr>
        <w:t xml:space="preserve">zuständig, </w:t>
      </w:r>
      <w:r>
        <w:rPr>
          <w:sz w:val="15"/>
        </w:rPr>
        <w:t xml:space="preserve">sondern </w:t>
      </w:r>
      <w:r>
        <w:rPr>
          <w:sz w:val="15"/>
        </w:rPr>
        <w:t xml:space="preserve">ausschließlich </w:t>
      </w:r>
      <w:r>
        <w:rPr>
          <w:sz w:val="15"/>
        </w:rPr>
        <w:t xml:space="preserve">der </w:t>
      </w:r>
      <w:r>
        <w:rPr>
          <w:sz w:val="15"/>
        </w:rPr>
        <w:t xml:space="preserve">zuständige </w:t>
      </w:r>
      <w:r>
        <w:rPr>
          <w:sz w:val="15"/>
        </w:rPr>
        <w:t>Richter</w:t>
      </w:r>
      <w:r>
        <w:rPr>
          <w:sz w:val="15"/>
        </w:rPr>
        <w:t>,</w:t>
      </w:r>
      <w:r>
        <w:rPr>
          <w:sz w:val="15"/>
        </w:rPr>
        <w:t xml:space="preserve"> und zwar ausschließlich das Zivilgericht. Auch alle übrigen </w:t>
      </w:r>
      <w:r>
        <w:rPr>
          <w:sz w:val="15"/>
        </w:rPr>
        <w:t>Streitigkeiten</w:t>
      </w:r>
      <w:r>
        <w:rPr>
          <w:sz w:val="15"/>
        </w:rPr>
        <w:t>, die</w:t>
      </w:r>
      <w:r>
        <w:rPr>
          <w:sz w:val="15"/>
        </w:rPr>
        <w:t xml:space="preserve"> sich aus dem Vertrag zwischen MA und dem </w:t>
      </w:r>
      <w:r>
        <w:rPr>
          <w:sz w:val="15"/>
        </w:rPr>
        <w:t xml:space="preserve">Auftraggeber </w:t>
      </w:r>
      <w:r>
        <w:rPr>
          <w:sz w:val="15"/>
        </w:rPr>
        <w:t xml:space="preserve">ergeben </w:t>
      </w:r>
      <w:r>
        <w:rPr>
          <w:sz w:val="15"/>
        </w:rPr>
        <w:t xml:space="preserve">und die nicht von einer der Schlichtungskommissionen </w:t>
      </w:r>
      <w:r>
        <w:rPr>
          <w:sz w:val="15"/>
        </w:rPr>
        <w:t xml:space="preserve">gemäß den Absätzen 3 und 4 dieses Artikels beigelegt werden, </w:t>
      </w:r>
      <w:r>
        <w:rPr>
          <w:sz w:val="15"/>
        </w:rPr>
        <w:t xml:space="preserve">werden ausschließlich vom zuständigen Gericht in Breda entschieden, </w:t>
      </w:r>
      <w:r>
        <w:rPr>
          <w:sz w:val="15"/>
        </w:rPr>
        <w:t>es sei denn</w:t>
      </w:r>
      <w:r>
        <w:rPr>
          <w:sz w:val="15"/>
        </w:rPr>
        <w:t>,</w:t>
      </w:r>
      <w:r>
        <w:rPr>
          <w:sz w:val="15"/>
        </w:rPr>
        <w:t xml:space="preserve"> das Gesetz schreibt zwingend etwas anderes vor oder die Parteien </w:t>
      </w:r>
      <w:r>
        <w:rPr>
          <w:sz w:val="15"/>
        </w:rPr>
        <w:t>haben ausdrücklich schriftlich etwas anderes vereinbart.</w:t>
      </w:r>
    </w:p>
    <w:p>
      <w:pPr>
        <w:pStyle w:val="BodyText"/>
        <w:spacing w:before="195"/>
        <w:ind w:left="0" w:firstLine="0"/>
      </w:pPr>
    </w:p>
    <w:p>
      <w:pPr>
        <w:pStyle w:val="BodyText"/>
        <w:ind w:left="86" w:right="4959" w:firstLine="0"/>
      </w:pPr>
      <w:r>
        <w:rPr>
          <w:sz w:val="15"/>
        </w:rPr>
        <w:t xml:space="preserve">MannaertsAppels </w:t>
      </w:r>
      <w:r>
        <w:rPr>
          <w:sz w:val="15"/>
        </w:rPr>
        <w:t xml:space="preserve">N.V. </w:t>
      </w:r>
      <w:r>
        <w:rPr>
          <w:sz w:val="15"/>
        </w:rPr>
        <w:t xml:space="preserve">hat </w:t>
      </w:r>
      <w:r>
        <w:rPr>
          <w:sz w:val="15"/>
        </w:rPr>
        <w:t xml:space="preserve">ihren </w:t>
      </w:r>
      <w:r>
        <w:rPr>
          <w:sz w:val="15"/>
        </w:rPr>
        <w:t xml:space="preserve">satzungsmäßigen </w:t>
      </w:r>
      <w:r>
        <w:rPr>
          <w:sz w:val="15"/>
        </w:rPr>
        <w:t xml:space="preserve">Sitz </w:t>
      </w:r>
      <w:r>
        <w:rPr>
          <w:sz w:val="15"/>
        </w:rPr>
        <w:t xml:space="preserve">in </w:t>
      </w:r>
      <w:r>
        <w:rPr>
          <w:sz w:val="15"/>
        </w:rPr>
        <w:t xml:space="preserve">Tilburg </w:t>
      </w:r>
      <w:r>
        <w:rPr>
          <w:sz w:val="15"/>
        </w:rPr>
        <w:t xml:space="preserve">und </w:t>
      </w:r>
      <w:r>
        <w:rPr>
          <w:sz w:val="15"/>
        </w:rPr>
        <w:t xml:space="preserve">ist </w:t>
      </w:r>
      <w:r>
        <w:rPr>
          <w:sz w:val="15"/>
        </w:rPr>
        <w:t xml:space="preserve">im Handelsregister unter der Nummer 17252992 </w:t>
      </w:r>
      <w:r>
        <w:rPr>
          <w:sz w:val="15"/>
        </w:rPr>
        <w:t>eingetragen</w:t>
      </w:r>
      <w:r>
        <w:rPr>
          <w:sz w:val="15"/>
        </w:rPr>
        <w:t>.</w:t>
      </w:r>
    </w:p>
    <w:sectPr>
      <w:pgSz w:w="11910" w:h="16840"/>
      <w:pgMar w:top="1980" w:right="992" w:bottom="1120" w:left="1275" w:header="1140" w:footer="93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6706234</wp:posOffset>
          </wp:positionH>
          <wp:positionV relativeFrom="page">
            <wp:posOffset>9970768</wp:posOffset>
          </wp:positionV>
          <wp:extent cx="198120" cy="264159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" cy="264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784818</wp:posOffset>
          </wp:positionH>
          <wp:positionV relativeFrom="page">
            <wp:posOffset>10096499</wp:posOffset>
          </wp:positionV>
          <wp:extent cx="5756482" cy="952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482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851712</wp:posOffset>
              </wp:positionH>
              <wp:positionV relativeFrom="page">
                <wp:posOffset>10233607</wp:posOffset>
              </wp:positionV>
              <wp:extent cx="439420" cy="1143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94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162" w:lineRule="exact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01.05.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4.6pt;height:9pt;margin-top:805.8pt;margin-left:67.0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0" w:line="162" w:lineRule="exact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01.05.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868044</wp:posOffset>
          </wp:positionH>
          <wp:positionV relativeFrom="page">
            <wp:posOffset>723899</wp:posOffset>
          </wp:positionV>
          <wp:extent cx="2303780" cy="30352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780" cy="303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CD7A85"/>
    <w:multiLevelType w:val="hybridMultilevel"/>
    <w:tmpl w:val="00000000"/>
    <w:lvl w:ilvl="0">
      <w:start w:val="5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1">
    <w:nsid w:val="260EE04E"/>
    <w:multiLevelType w:val="hybridMultilevel"/>
    <w:tmpl w:val="00000000"/>
    <w:lvl w:ilvl="0">
      <w:start w:val="1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2">
    <w:nsid w:val="30C7E570"/>
    <w:multiLevelType w:val="hybridMultilevel"/>
    <w:tmpl w:val="00000000"/>
    <w:lvl w:ilvl="0">
      <w:start w:val="2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3">
    <w:nsid w:val="3BBC9289"/>
    <w:multiLevelType w:val="hybridMultilevel"/>
    <w:tmpl w:val="00000000"/>
    <w:lvl w:ilvl="0">
      <w:start w:val="6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26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5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093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26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5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392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25" w:hanging="284"/>
      </w:pPr>
      <w:rPr>
        <w:rFonts w:hint="default"/>
        <w:lang w:val="nl-NL" w:eastAsia="en-US" w:bidi="ar-SA"/>
      </w:rPr>
    </w:lvl>
  </w:abstractNum>
  <w:abstractNum w:abstractNumId="4">
    <w:nsid w:val="65D6E208"/>
    <w:multiLevelType w:val="hybridMultilevel"/>
    <w:tmpl w:val="00000000"/>
    <w:lvl w:ilvl="0">
      <w:start w:val="3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abstractNum w:abstractNumId="5">
    <w:nsid w:val="76FE52CE"/>
    <w:multiLevelType w:val="hybridMultilevel"/>
    <w:tmpl w:val="00000000"/>
    <w:lvl w:ilvl="0">
      <w:start w:val="4"/>
      <w:numFmt w:val="decimal"/>
      <w:lvlText w:val="%1"/>
      <w:lvlJc w:val="left"/>
      <w:pPr>
        <w:ind w:left="369" w:hanging="284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3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233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1669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2106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2543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2979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3416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3852" w:hanging="284"/>
      </w:pPr>
      <w:rPr>
        <w:rFonts w:hint="default"/>
        <w:lang w:val="nl-NL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l-NL" w:eastAsia="en-US" w:bidi="ar-SA"/>
    </w:rPr>
  </w:style>
  <w:style w:type="paragraph" w:styleId="Heading1">
    <w:name w:val="heading 1"/>
    <w:basedOn w:val="Normal"/>
    <w:uiPriority w:val="1"/>
    <w:qFormat/>
    <w:pPr>
      <w:spacing w:before="58"/>
      <w:ind w:left="86"/>
      <w:outlineLvl w:val="0"/>
    </w:pPr>
    <w:rPr>
      <w:rFonts w:ascii="Calibri" w:eastAsia="Calibri" w:hAnsi="Calibri" w:cs="Calibri"/>
      <w:b/>
      <w:bCs/>
      <w:sz w:val="22"/>
      <w:szCs w:val="22"/>
      <w:lang w:val="nl-NL" w:eastAsia="en-US" w:bidi="ar-SA"/>
    </w:rPr>
  </w:style>
  <w:style w:type="paragraph" w:styleId="Heading2">
    <w:name w:val="heading 2"/>
    <w:basedOn w:val="Normal"/>
    <w:uiPriority w:val="1"/>
    <w:qFormat/>
    <w:pPr>
      <w:spacing w:line="195" w:lineRule="exact"/>
      <w:ind w:left="86"/>
      <w:outlineLvl w:val="1"/>
    </w:pPr>
    <w:rPr>
      <w:rFonts w:ascii="Calibri" w:eastAsia="Calibri" w:hAnsi="Calibri" w:cs="Calibri"/>
      <w:b/>
      <w:bCs/>
      <w:sz w:val="16"/>
      <w:szCs w:val="16"/>
      <w:lang w:val="nl-N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69" w:hanging="284"/>
    </w:pPr>
    <w:rPr>
      <w:rFonts w:ascii="Calibri" w:eastAsia="Calibri" w:hAnsi="Calibri" w:cs="Calibri"/>
      <w:sz w:val="16"/>
      <w:szCs w:val="16"/>
      <w:lang w:val="nl-NL" w:eastAsia="en-US" w:bidi="ar-SA"/>
    </w:rPr>
  </w:style>
  <w:style w:type="paragraph" w:styleId="ListParagraph">
    <w:name w:val="List Paragraph"/>
    <w:basedOn w:val="Normal"/>
    <w:uiPriority w:val="1"/>
    <w:qFormat/>
    <w:pPr>
      <w:ind w:left="369" w:hanging="284"/>
    </w:pPr>
    <w:rPr>
      <w:rFonts w:ascii="Calibri" w:eastAsia="Calibri" w:hAnsi="Calibri" w:cs="Calibri"/>
      <w:lang w:val="nl-NL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yperlink" Target="http://www.degeschillencommissie.nl/" TargetMode="External" /><Relationship Id="rId7" Type="http://schemas.openxmlformats.org/officeDocument/2006/relationships/hyperlink" Target="http://www.degeschillencommissie.nl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 1 – Algemeen</dc:title>
  <dc:creator>Paul Alofs</dc:creator>
  <cp:keywords>, docId:4E9C95BFC38B7A6E63889C24B9FCDE8A</cp:keywords>
  <cp:revision>0</cp:revision>
  <dcterms:created xsi:type="dcterms:W3CDTF">2026-04-08T10:12:49Z</dcterms:created>
  <dcterms:modified xsi:type="dcterms:W3CDTF">2026-04-08T10:12:49Z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</Properties>
</file>